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E84B2">
      <w:pPr>
        <w:keepNext w:val="0"/>
        <w:keepLines w:val="0"/>
        <w:pageBreakBefore w:val="0"/>
        <w:widowControl w:val="0"/>
        <w:kinsoku/>
        <w:wordWrap/>
        <w:overflowPunct/>
        <w:topLinePunct w:val="0"/>
        <w:autoSpaceDE/>
        <w:autoSpaceDN/>
        <w:bidi w:val="0"/>
        <w:adjustRightInd/>
        <w:snapToGrid/>
        <w:spacing w:line="510" w:lineRule="exact"/>
        <w:ind w:right="0" w:rightChars="0"/>
        <w:jc w:val="both"/>
        <w:textAlignment w:val="auto"/>
        <w:outlineLvl w:val="9"/>
        <w:rPr>
          <w:rFonts w:hint="eastAsia" w:ascii="Times New Roman" w:hAnsi="仿宋" w:eastAsia="仿宋"/>
          <w:color w:val="auto"/>
          <w:sz w:val="32"/>
          <w:szCs w:val="32"/>
          <w:lang w:val="en-US" w:eastAsia="zh-CN"/>
        </w:rPr>
      </w:pPr>
      <w:r>
        <w:rPr>
          <w:rFonts w:hint="eastAsia" w:ascii="Times New Roman" w:hAnsi="仿宋" w:eastAsia="仿宋"/>
          <w:color w:val="auto"/>
          <w:sz w:val="32"/>
          <w:szCs w:val="32"/>
          <w:lang w:eastAsia="zh-CN"/>
        </w:rPr>
        <w:t>附件</w:t>
      </w:r>
    </w:p>
    <w:p w14:paraId="3E62F230">
      <w:pPr>
        <w:keepNext w:val="0"/>
        <w:keepLines w:val="0"/>
        <w:pageBreakBefore w:val="0"/>
        <w:widowControl w:val="0"/>
        <w:kinsoku/>
        <w:wordWrap/>
        <w:overflowPunct/>
        <w:topLinePunct w:val="0"/>
        <w:autoSpaceDE/>
        <w:autoSpaceDN/>
        <w:bidi w:val="0"/>
        <w:adjustRightInd/>
        <w:snapToGrid/>
        <w:spacing w:line="510" w:lineRule="exact"/>
        <w:ind w:right="0" w:rightChars="0"/>
        <w:jc w:val="both"/>
        <w:textAlignment w:val="auto"/>
        <w:outlineLvl w:val="9"/>
        <w:rPr>
          <w:rFonts w:hint="default" w:ascii="Times New Roman" w:hAnsi="仿宋" w:eastAsia="仿宋"/>
          <w:color w:val="auto"/>
          <w:sz w:val="32"/>
          <w:szCs w:val="32"/>
          <w:lang w:val="en-US" w:eastAsia="zh-CN"/>
        </w:rPr>
      </w:pPr>
    </w:p>
    <w:p w14:paraId="0B31B153">
      <w:pPr>
        <w:spacing w:line="560" w:lineRule="exact"/>
        <w:jc w:val="center"/>
        <w:rPr>
          <w:rFonts w:hint="eastAsia" w:ascii="方正小标宋_GBK" w:eastAsia="方正小标宋_GBK"/>
          <w:color w:val="auto"/>
          <w:sz w:val="44"/>
          <w:szCs w:val="44"/>
        </w:rPr>
      </w:pPr>
      <w:r>
        <w:rPr>
          <w:rFonts w:hint="eastAsia" w:ascii="方正小标宋_GBK" w:eastAsia="方正小标宋_GBK"/>
          <w:color w:val="auto"/>
          <w:sz w:val="44"/>
          <w:szCs w:val="44"/>
          <w:lang w:eastAsia="zh-CN"/>
        </w:rPr>
        <w:t>中马钦州产业园区启动区中马广场项目202</w:t>
      </w:r>
      <w:r>
        <w:rPr>
          <w:rFonts w:hint="eastAsia" w:ascii="方正小标宋_GBK" w:eastAsia="方正小标宋_GBK"/>
          <w:color w:val="auto"/>
          <w:sz w:val="44"/>
          <w:szCs w:val="44"/>
          <w:lang w:val="en-US" w:eastAsia="zh-CN"/>
        </w:rPr>
        <w:t>5</w:t>
      </w:r>
      <w:r>
        <w:rPr>
          <w:rFonts w:hint="eastAsia" w:ascii="方正小标宋_GBK" w:eastAsia="方正小标宋_GBK"/>
          <w:color w:val="auto"/>
          <w:sz w:val="44"/>
          <w:szCs w:val="44"/>
          <w:lang w:eastAsia="zh-CN"/>
        </w:rPr>
        <w:t>—202</w:t>
      </w:r>
      <w:r>
        <w:rPr>
          <w:rFonts w:hint="eastAsia" w:ascii="方正小标宋_GBK" w:eastAsia="方正小标宋_GBK"/>
          <w:color w:val="auto"/>
          <w:sz w:val="44"/>
          <w:szCs w:val="44"/>
          <w:lang w:val="en-US" w:eastAsia="zh-CN"/>
        </w:rPr>
        <w:t>6</w:t>
      </w:r>
      <w:r>
        <w:rPr>
          <w:rFonts w:hint="eastAsia" w:ascii="方正小标宋_GBK" w:eastAsia="方正小标宋_GBK"/>
          <w:color w:val="auto"/>
          <w:sz w:val="44"/>
          <w:szCs w:val="44"/>
          <w:lang w:eastAsia="zh-CN"/>
        </w:rPr>
        <w:t>年消防维保服务</w:t>
      </w:r>
      <w:r>
        <w:rPr>
          <w:rFonts w:hint="eastAsia" w:ascii="方正小标宋_GBK" w:eastAsia="方正小标宋_GBK"/>
          <w:color w:val="auto"/>
          <w:sz w:val="44"/>
          <w:szCs w:val="44"/>
        </w:rPr>
        <w:t>公开比选文件</w:t>
      </w:r>
    </w:p>
    <w:p w14:paraId="78A53435">
      <w:pPr>
        <w:keepNext w:val="0"/>
        <w:keepLines w:val="0"/>
        <w:pageBreakBefore w:val="0"/>
        <w:widowControl w:val="0"/>
        <w:kinsoku/>
        <w:wordWrap/>
        <w:overflowPunct/>
        <w:topLinePunct w:val="0"/>
        <w:autoSpaceDE/>
        <w:autoSpaceDN/>
        <w:bidi w:val="0"/>
        <w:adjustRightInd/>
        <w:snapToGrid/>
        <w:spacing w:line="528" w:lineRule="exact"/>
        <w:ind w:firstLine="640" w:firstLineChars="200"/>
        <w:textAlignment w:val="auto"/>
        <w:rPr>
          <w:rFonts w:hint="eastAsia" w:ascii="Times New Roman" w:hAnsi="仿宋" w:eastAsia="仿宋"/>
          <w:color w:val="auto"/>
          <w:sz w:val="32"/>
          <w:szCs w:val="32"/>
        </w:rPr>
      </w:pPr>
    </w:p>
    <w:p w14:paraId="28D1703C">
      <w:pPr>
        <w:keepNext w:val="0"/>
        <w:keepLines w:val="0"/>
        <w:pageBreakBefore w:val="0"/>
        <w:widowControl w:val="0"/>
        <w:kinsoku/>
        <w:wordWrap/>
        <w:overflowPunct/>
        <w:topLinePunct w:val="0"/>
        <w:autoSpaceDE/>
        <w:autoSpaceDN/>
        <w:bidi w:val="0"/>
        <w:adjustRightInd/>
        <w:snapToGrid/>
        <w:spacing w:line="528" w:lineRule="exact"/>
        <w:ind w:left="0" w:leftChars="0" w:right="0" w:rightChars="0" w:firstLine="640" w:firstLineChars="200"/>
        <w:jc w:val="both"/>
        <w:textAlignment w:val="auto"/>
        <w:outlineLvl w:val="9"/>
        <w:rPr>
          <w:rFonts w:ascii="Times New Roman" w:hAnsi="Times New Roman" w:eastAsia="仿宋"/>
          <w:color w:val="auto"/>
          <w:sz w:val="32"/>
          <w:szCs w:val="32"/>
        </w:rPr>
      </w:pPr>
      <w:r>
        <w:rPr>
          <w:rFonts w:ascii="Times New Roman" w:hAnsi="仿宋" w:eastAsia="仿宋"/>
          <w:color w:val="auto"/>
          <w:sz w:val="32"/>
          <w:szCs w:val="32"/>
        </w:rPr>
        <w:t>我公司</w:t>
      </w:r>
      <w:r>
        <w:rPr>
          <w:rFonts w:hint="eastAsia" w:ascii="Times New Roman" w:hAnsi="仿宋" w:eastAsia="仿宋"/>
          <w:color w:val="auto"/>
          <w:sz w:val="32"/>
          <w:szCs w:val="32"/>
          <w:lang w:val="en-US" w:eastAsia="zh-CN"/>
        </w:rPr>
        <w:t>下属子公司广西钦州孔雀湾物业服务有限公司</w:t>
      </w:r>
      <w:r>
        <w:rPr>
          <w:rFonts w:ascii="Times New Roman" w:hAnsi="仿宋" w:eastAsia="仿宋"/>
          <w:color w:val="auto"/>
          <w:sz w:val="32"/>
          <w:szCs w:val="32"/>
        </w:rPr>
        <w:t>拟</w:t>
      </w:r>
      <w:r>
        <w:rPr>
          <w:rFonts w:hint="eastAsia" w:ascii="Times New Roman" w:hAnsi="仿宋" w:eastAsia="仿宋"/>
          <w:color w:val="auto"/>
          <w:sz w:val="32"/>
          <w:szCs w:val="32"/>
          <w:lang w:val="en-US" w:eastAsia="zh-CN"/>
        </w:rPr>
        <w:t>对</w:t>
      </w:r>
      <w:r>
        <w:rPr>
          <w:rFonts w:hint="eastAsia" w:ascii="Times New Roman" w:hAnsi="仿宋" w:eastAsia="仿宋"/>
          <w:color w:val="auto"/>
          <w:sz w:val="32"/>
          <w:szCs w:val="32"/>
        </w:rPr>
        <w:t>中马钦州产业园区启动区中马广场项目202</w:t>
      </w:r>
      <w:r>
        <w:rPr>
          <w:rFonts w:hint="eastAsia" w:ascii="Times New Roman" w:hAnsi="仿宋" w:eastAsia="仿宋"/>
          <w:color w:val="auto"/>
          <w:sz w:val="32"/>
          <w:szCs w:val="32"/>
          <w:lang w:val="en-US" w:eastAsia="zh-CN"/>
        </w:rPr>
        <w:t>5</w:t>
      </w:r>
      <w:r>
        <w:rPr>
          <w:rFonts w:hint="eastAsia" w:ascii="Times New Roman" w:hAnsi="仿宋" w:eastAsia="仿宋"/>
          <w:color w:val="auto"/>
          <w:sz w:val="32"/>
          <w:szCs w:val="32"/>
        </w:rPr>
        <w:t>—202</w:t>
      </w:r>
      <w:r>
        <w:rPr>
          <w:rFonts w:hint="eastAsia" w:ascii="Times New Roman" w:hAnsi="仿宋" w:eastAsia="仿宋"/>
          <w:color w:val="auto"/>
          <w:sz w:val="32"/>
          <w:szCs w:val="32"/>
          <w:lang w:val="en-US" w:eastAsia="zh-CN"/>
        </w:rPr>
        <w:t>6</w:t>
      </w:r>
      <w:r>
        <w:rPr>
          <w:rFonts w:hint="eastAsia" w:ascii="Times New Roman" w:hAnsi="仿宋" w:eastAsia="仿宋"/>
          <w:color w:val="auto"/>
          <w:sz w:val="32"/>
          <w:szCs w:val="32"/>
        </w:rPr>
        <w:t>年消防维保服务</w:t>
      </w:r>
      <w:r>
        <w:rPr>
          <w:rFonts w:ascii="Times New Roman" w:hAnsi="仿宋" w:eastAsia="仿宋"/>
          <w:color w:val="auto"/>
          <w:sz w:val="32"/>
          <w:szCs w:val="32"/>
        </w:rPr>
        <w:t>通过公开比选</w:t>
      </w:r>
      <w:r>
        <w:rPr>
          <w:rFonts w:hint="eastAsia" w:ascii="Times New Roman" w:hAnsi="仿宋" w:eastAsia="仿宋"/>
          <w:color w:val="auto"/>
          <w:sz w:val="32"/>
          <w:szCs w:val="32"/>
          <w:lang w:eastAsia="zh-CN"/>
        </w:rPr>
        <w:t>选择</w:t>
      </w:r>
      <w:r>
        <w:rPr>
          <w:rFonts w:hint="eastAsia" w:ascii="Times New Roman" w:hAnsi="仿宋" w:eastAsia="仿宋"/>
          <w:color w:val="auto"/>
          <w:sz w:val="32"/>
          <w:szCs w:val="32"/>
          <w:lang w:val="en-US" w:eastAsia="zh-CN"/>
        </w:rPr>
        <w:t>维保</w:t>
      </w:r>
      <w:r>
        <w:rPr>
          <w:rFonts w:hint="eastAsia" w:ascii="Times New Roman" w:hAnsi="仿宋" w:eastAsia="仿宋"/>
          <w:color w:val="auto"/>
          <w:sz w:val="32"/>
          <w:szCs w:val="32"/>
          <w:lang w:eastAsia="zh-CN"/>
        </w:rPr>
        <w:t>单位</w:t>
      </w:r>
      <w:r>
        <w:rPr>
          <w:rFonts w:ascii="Times New Roman" w:hAnsi="仿宋" w:eastAsia="仿宋"/>
          <w:color w:val="auto"/>
          <w:sz w:val="32"/>
          <w:szCs w:val="32"/>
        </w:rPr>
        <w:t>，具体事项如下：</w:t>
      </w:r>
    </w:p>
    <w:p w14:paraId="772D677A">
      <w:pPr>
        <w:keepNext w:val="0"/>
        <w:keepLines w:val="0"/>
        <w:pageBreakBefore w:val="0"/>
        <w:widowControl w:val="0"/>
        <w:kinsoku/>
        <w:wordWrap/>
        <w:overflowPunct/>
        <w:topLinePunct w:val="0"/>
        <w:autoSpaceDE/>
        <w:autoSpaceDN/>
        <w:bidi w:val="0"/>
        <w:adjustRightInd/>
        <w:snapToGrid/>
        <w:spacing w:beforeLines="0" w:afterLines="0" w:line="528" w:lineRule="exact"/>
        <w:ind w:firstLine="640" w:firstLineChars="200"/>
        <w:textAlignment w:val="auto"/>
        <w:rPr>
          <w:rFonts w:ascii="黑体" w:hAnsi="黑体" w:eastAsia="黑体"/>
          <w:color w:val="auto"/>
          <w:sz w:val="32"/>
          <w:szCs w:val="32"/>
        </w:rPr>
      </w:pPr>
      <w:r>
        <w:rPr>
          <w:rFonts w:ascii="黑体" w:hAnsi="黑体" w:eastAsia="黑体"/>
          <w:color w:val="auto"/>
          <w:sz w:val="32"/>
          <w:szCs w:val="32"/>
        </w:rPr>
        <w:t>一、项目基本情况</w:t>
      </w:r>
    </w:p>
    <w:p w14:paraId="5D0B708C">
      <w:pPr>
        <w:keepNext w:val="0"/>
        <w:keepLines w:val="0"/>
        <w:pageBreakBefore w:val="0"/>
        <w:widowControl w:val="0"/>
        <w:kinsoku/>
        <w:wordWrap/>
        <w:overflowPunct/>
        <w:topLinePunct w:val="0"/>
        <w:autoSpaceDE/>
        <w:autoSpaceDN/>
        <w:bidi w:val="0"/>
        <w:adjustRightInd/>
        <w:snapToGrid/>
        <w:spacing w:line="528" w:lineRule="exact"/>
        <w:ind w:right="0" w:rightChars="0" w:firstLine="600" w:firstLineChars="200"/>
        <w:jc w:val="both"/>
        <w:textAlignment w:val="auto"/>
        <w:outlineLvl w:val="9"/>
        <w:rPr>
          <w:rFonts w:hint="default" w:ascii="Times New Roman" w:hAnsi="仿宋" w:eastAsia="仿宋"/>
          <w:color w:val="auto"/>
          <w:sz w:val="32"/>
          <w:szCs w:val="32"/>
          <w:lang w:val="en-US" w:eastAsia="zh-CN"/>
        </w:rPr>
      </w:pPr>
      <w:r>
        <w:rPr>
          <w:rFonts w:hint="eastAsia" w:ascii="仿宋" w:hAnsi="仿宋" w:eastAsia="仿宋"/>
          <w:color w:val="auto"/>
          <w:sz w:val="30"/>
          <w:szCs w:val="30"/>
          <w:lang w:val="en-US" w:eastAsia="zh-CN"/>
        </w:rPr>
        <w:t>中马广场项目</w:t>
      </w:r>
      <w:r>
        <w:rPr>
          <w:rFonts w:hint="eastAsia" w:ascii="仿宋" w:hAnsi="仿宋" w:eastAsia="仿宋"/>
          <w:color w:val="auto"/>
          <w:sz w:val="30"/>
          <w:szCs w:val="30"/>
        </w:rPr>
        <w:t>建筑面积</w:t>
      </w:r>
      <w:r>
        <w:rPr>
          <w:rFonts w:hint="eastAsia" w:ascii="仿宋" w:hAnsi="仿宋" w:eastAsia="仿宋"/>
          <w:color w:val="auto"/>
          <w:sz w:val="30"/>
          <w:szCs w:val="30"/>
          <w:lang w:val="en-US" w:eastAsia="zh-CN"/>
        </w:rPr>
        <w:t>约</w:t>
      </w:r>
      <w:r>
        <w:rPr>
          <w:rFonts w:hint="eastAsia" w:ascii="Times New Roman" w:hAnsi="仿宋" w:eastAsia="仿宋"/>
          <w:color w:val="auto"/>
          <w:sz w:val="32"/>
          <w:szCs w:val="32"/>
          <w:lang w:val="en-US" w:eastAsia="zh-CN"/>
        </w:rPr>
        <w:t>181132</w:t>
      </w:r>
      <w:r>
        <w:rPr>
          <w:rFonts w:hint="eastAsia" w:ascii="仿宋" w:hAnsi="仿宋" w:eastAsia="仿宋"/>
          <w:color w:val="auto"/>
          <w:sz w:val="30"/>
          <w:szCs w:val="30"/>
        </w:rPr>
        <w:t>㎡</w:t>
      </w:r>
      <w:r>
        <w:rPr>
          <w:rFonts w:hint="eastAsia" w:ascii="Times New Roman" w:hAnsi="仿宋" w:eastAsia="仿宋"/>
          <w:color w:val="auto"/>
          <w:sz w:val="32"/>
          <w:szCs w:val="32"/>
          <w:lang w:val="en-US" w:eastAsia="zh-CN"/>
        </w:rPr>
        <w:t>,其中3#酒店面积为22129㎡，本次消防维保范围不含3#酒店。</w:t>
      </w:r>
    </w:p>
    <w:p w14:paraId="7737BA7E">
      <w:pPr>
        <w:keepNext w:val="0"/>
        <w:keepLines w:val="0"/>
        <w:pageBreakBefore w:val="0"/>
        <w:widowControl w:val="0"/>
        <w:kinsoku/>
        <w:wordWrap/>
        <w:overflowPunct/>
        <w:topLinePunct w:val="0"/>
        <w:autoSpaceDE/>
        <w:autoSpaceDN/>
        <w:bidi w:val="0"/>
        <w:adjustRightInd/>
        <w:snapToGrid/>
        <w:spacing w:line="528" w:lineRule="exact"/>
        <w:ind w:right="0" w:rightChars="0" w:firstLine="640" w:firstLineChars="200"/>
        <w:jc w:val="both"/>
        <w:textAlignment w:val="auto"/>
        <w:outlineLvl w:val="9"/>
        <w:rPr>
          <w:rFonts w:hint="default" w:ascii="黑体" w:hAnsi="黑体" w:eastAsia="黑体"/>
          <w:color w:val="auto"/>
          <w:sz w:val="32"/>
          <w:szCs w:val="32"/>
          <w:lang w:val="en-US"/>
        </w:rPr>
      </w:pPr>
      <w:r>
        <w:rPr>
          <w:rFonts w:hint="eastAsia" w:ascii="Times New Roman" w:hAnsi="仿宋" w:eastAsia="仿宋"/>
          <w:color w:val="auto"/>
          <w:sz w:val="32"/>
          <w:szCs w:val="32"/>
          <w:lang w:val="en-US" w:eastAsia="zh-CN"/>
        </w:rPr>
        <w:t>消防维保服务的主要内容为：巡查、检测、维护、保养各类消防设施设备，无偿对消防管网进行防腐防锈处理及外层涂刷红油,免费更换200元及以下的配件（其中中马广场二期4#写字楼、二期6#-B商业、二期地下室合计约65494㎡的消防维保按清包形式，不含任何零备件材料更换）。消防维保具体内容详见比选文件的合同附件。</w:t>
      </w:r>
    </w:p>
    <w:p w14:paraId="47BD1CD4">
      <w:pPr>
        <w:keepNext w:val="0"/>
        <w:keepLines w:val="0"/>
        <w:pageBreakBefore w:val="0"/>
        <w:widowControl w:val="0"/>
        <w:kinsoku/>
        <w:wordWrap/>
        <w:overflowPunct/>
        <w:topLinePunct w:val="0"/>
        <w:autoSpaceDE/>
        <w:autoSpaceDN/>
        <w:bidi w:val="0"/>
        <w:adjustRightInd/>
        <w:snapToGrid/>
        <w:spacing w:beforeLines="0" w:afterLines="0" w:line="528" w:lineRule="exact"/>
        <w:ind w:firstLine="640" w:firstLineChars="200"/>
        <w:textAlignment w:val="auto"/>
        <w:rPr>
          <w:rFonts w:ascii="黑体" w:hAnsi="黑体" w:eastAsia="黑体"/>
          <w:color w:val="auto"/>
          <w:sz w:val="32"/>
          <w:szCs w:val="32"/>
        </w:rPr>
      </w:pPr>
      <w:r>
        <w:rPr>
          <w:rFonts w:ascii="黑体" w:hAnsi="黑体" w:eastAsia="黑体"/>
          <w:color w:val="auto"/>
          <w:sz w:val="32"/>
          <w:szCs w:val="32"/>
        </w:rPr>
        <w:t>二、报价单位要求</w:t>
      </w:r>
    </w:p>
    <w:p w14:paraId="2E312BB9">
      <w:pPr>
        <w:keepNext w:val="0"/>
        <w:keepLines w:val="0"/>
        <w:pageBreakBefore w:val="0"/>
        <w:widowControl w:val="0"/>
        <w:kinsoku/>
        <w:wordWrap/>
        <w:overflowPunct/>
        <w:topLinePunct w:val="0"/>
        <w:autoSpaceDE/>
        <w:autoSpaceDN/>
        <w:bidi w:val="0"/>
        <w:adjustRightInd/>
        <w:snapToGrid/>
        <w:spacing w:beforeLines="0" w:afterLines="0" w:line="528" w:lineRule="exact"/>
        <w:ind w:firstLine="640" w:firstLineChars="200"/>
        <w:textAlignment w:val="auto"/>
        <w:rPr>
          <w:rFonts w:hint="eastAsia" w:ascii="Times New Roman" w:hAnsi="仿宋" w:eastAsia="仿宋"/>
          <w:color w:val="auto"/>
          <w:sz w:val="32"/>
          <w:szCs w:val="32"/>
          <w:lang w:eastAsia="zh-CN"/>
        </w:rPr>
      </w:pPr>
      <w:r>
        <w:rPr>
          <w:rFonts w:hint="eastAsia" w:ascii="Times New Roman" w:hAnsi="仿宋" w:eastAsia="仿宋"/>
          <w:color w:val="auto"/>
          <w:sz w:val="32"/>
          <w:szCs w:val="32"/>
          <w:lang w:val="en-US" w:eastAsia="zh-CN"/>
        </w:rPr>
        <w:t>（一）资格要求：</w:t>
      </w:r>
      <w:r>
        <w:rPr>
          <w:rFonts w:hint="eastAsia" w:ascii="Times New Roman" w:hAnsi="仿宋" w:eastAsia="仿宋"/>
          <w:color w:val="auto"/>
          <w:sz w:val="32"/>
          <w:szCs w:val="32"/>
          <w:lang w:eastAsia="zh-CN"/>
        </w:rPr>
        <w:t>报价人须具备中华人民共和国应急管理部文件 应急【2019】88号《消防技术服务机构从业条件》的通知内的相关要求。同时报价人须是在“广西社会消防技术服务机构业务信息管理系统”网站（</w:t>
      </w:r>
      <w:r>
        <w:rPr>
          <w:rFonts w:hint="eastAsia" w:ascii="Times New Roman" w:hAnsi="仿宋" w:eastAsia="仿宋"/>
          <w:color w:val="auto"/>
          <w:sz w:val="32"/>
          <w:szCs w:val="32"/>
          <w:lang w:eastAsia="zh-CN"/>
        </w:rPr>
        <w:fldChar w:fldCharType="begin"/>
      </w:r>
      <w:r>
        <w:rPr>
          <w:rFonts w:hint="eastAsia" w:ascii="Times New Roman" w:hAnsi="仿宋" w:eastAsia="仿宋"/>
          <w:color w:val="auto"/>
          <w:sz w:val="32"/>
          <w:szCs w:val="32"/>
          <w:lang w:eastAsia="zh-CN"/>
        </w:rPr>
        <w:instrText xml:space="preserve"> HYPERLINK "http://jsfwjg.gx119.gov.cn/%EF%BC%89%E5%A4%87%E6%A1%88%E6%88%90%E5%8A%9F%E7%9A%84%E6%B6%88%E9%98%B2%E7%BB%B4%E6%8A%A4%E4%BF%9D%E5%85%BB%E6%A3%80%E6%B5%8B%E6%8A%80%E6%9C%AF%E6%9C%8D%E5%8A%A1%E6%9C%BA%E6%9E%84" \t "_blank" </w:instrText>
      </w:r>
      <w:r>
        <w:rPr>
          <w:rFonts w:hint="eastAsia" w:ascii="Times New Roman" w:hAnsi="仿宋" w:eastAsia="仿宋"/>
          <w:color w:val="auto"/>
          <w:sz w:val="32"/>
          <w:szCs w:val="32"/>
          <w:lang w:eastAsia="zh-CN"/>
        </w:rPr>
        <w:fldChar w:fldCharType="separate"/>
      </w:r>
      <w:r>
        <w:rPr>
          <w:rFonts w:hint="eastAsia" w:ascii="Times New Roman" w:hAnsi="仿宋" w:eastAsia="仿宋"/>
          <w:color w:val="auto"/>
          <w:sz w:val="32"/>
          <w:szCs w:val="32"/>
          <w:lang w:eastAsia="zh-CN"/>
        </w:rPr>
        <w:t>http://jsfwjg.gx119.gov.cn/）备案成功的消防维护保养检测技术服务机构</w:t>
      </w:r>
      <w:r>
        <w:rPr>
          <w:rFonts w:hint="eastAsia" w:ascii="Times New Roman" w:hAnsi="仿宋" w:eastAsia="仿宋"/>
          <w:color w:val="auto"/>
          <w:sz w:val="32"/>
          <w:szCs w:val="32"/>
          <w:lang w:eastAsia="zh-CN"/>
        </w:rPr>
        <w:fldChar w:fldCharType="end"/>
      </w:r>
      <w:r>
        <w:rPr>
          <w:rFonts w:hint="eastAsia" w:ascii="Times New Roman" w:hAnsi="仿宋" w:eastAsia="仿宋"/>
          <w:color w:val="auto"/>
          <w:sz w:val="32"/>
          <w:szCs w:val="32"/>
          <w:lang w:eastAsia="zh-CN"/>
        </w:rPr>
        <w:t>。须提供真实有效的网页备案截图。</w:t>
      </w:r>
    </w:p>
    <w:p w14:paraId="6DD23D14">
      <w:pPr>
        <w:keepNext w:val="0"/>
        <w:keepLines w:val="0"/>
        <w:pageBreakBefore w:val="0"/>
        <w:widowControl w:val="0"/>
        <w:kinsoku/>
        <w:wordWrap/>
        <w:overflowPunct/>
        <w:topLinePunct w:val="0"/>
        <w:autoSpaceDE/>
        <w:autoSpaceDN/>
        <w:bidi w:val="0"/>
        <w:adjustRightInd/>
        <w:snapToGrid/>
        <w:spacing w:beforeLines="0" w:afterLines="0" w:line="528" w:lineRule="exact"/>
        <w:ind w:firstLine="640" w:firstLineChars="200"/>
        <w:textAlignment w:val="auto"/>
        <w:rPr>
          <w:rFonts w:hint="default" w:ascii="Times New Roman" w:hAnsi="仿宋" w:eastAsia="仿宋"/>
          <w:color w:val="auto"/>
          <w:sz w:val="32"/>
          <w:szCs w:val="32"/>
          <w:lang w:val="en-US" w:eastAsia="zh-CN"/>
        </w:rPr>
      </w:pPr>
      <w:r>
        <w:rPr>
          <w:rFonts w:hint="eastAsia" w:ascii="Times New Roman" w:hAnsi="仿宋" w:eastAsia="仿宋"/>
          <w:color w:val="auto"/>
          <w:sz w:val="32"/>
          <w:szCs w:val="32"/>
          <w:lang w:val="en-US" w:eastAsia="zh-CN"/>
        </w:rPr>
        <w:t>（二）业绩要求：维保单位</w:t>
      </w:r>
      <w:r>
        <w:rPr>
          <w:rFonts w:hint="eastAsia" w:ascii="Times New Roman" w:hAnsi="仿宋" w:eastAsia="仿宋"/>
          <w:color w:val="auto"/>
          <w:sz w:val="32"/>
          <w:szCs w:val="32"/>
        </w:rPr>
        <w:t>近</w:t>
      </w:r>
      <w:r>
        <w:rPr>
          <w:rFonts w:hint="eastAsia" w:ascii="Times New Roman" w:hAnsi="仿宋" w:eastAsia="仿宋"/>
          <w:color w:val="auto"/>
          <w:sz w:val="32"/>
          <w:szCs w:val="32"/>
          <w:lang w:eastAsia="zh-CN"/>
        </w:rPr>
        <w:t>两</w:t>
      </w:r>
      <w:r>
        <w:rPr>
          <w:rFonts w:hint="eastAsia" w:ascii="Times New Roman" w:hAnsi="仿宋" w:eastAsia="仿宋"/>
          <w:color w:val="auto"/>
          <w:sz w:val="32"/>
          <w:szCs w:val="32"/>
        </w:rPr>
        <w:t>年</w:t>
      </w:r>
      <w:r>
        <w:rPr>
          <w:rFonts w:hint="eastAsia" w:ascii="Times New Roman" w:hAnsi="仿宋" w:eastAsia="仿宋"/>
          <w:color w:val="auto"/>
          <w:sz w:val="32"/>
          <w:szCs w:val="32"/>
          <w:lang w:val="en-US" w:eastAsia="zh-CN"/>
        </w:rPr>
        <w:t>承接的</w:t>
      </w:r>
      <w:r>
        <w:rPr>
          <w:rFonts w:hint="eastAsia" w:ascii="Times New Roman" w:hAnsi="仿宋" w:eastAsia="仿宋"/>
          <w:color w:val="auto"/>
          <w:sz w:val="32"/>
          <w:szCs w:val="32"/>
        </w:rPr>
        <w:t>类似</w:t>
      </w:r>
      <w:r>
        <w:rPr>
          <w:rFonts w:hint="eastAsia" w:ascii="Times New Roman" w:hAnsi="仿宋" w:eastAsia="仿宋"/>
          <w:color w:val="auto"/>
          <w:sz w:val="32"/>
          <w:szCs w:val="32"/>
          <w:lang w:eastAsia="zh-CN"/>
        </w:rPr>
        <w:t>维保服务</w:t>
      </w:r>
      <w:r>
        <w:rPr>
          <w:rFonts w:hint="eastAsia" w:ascii="Times New Roman" w:hAnsi="仿宋" w:eastAsia="仿宋"/>
          <w:color w:val="auto"/>
          <w:sz w:val="32"/>
          <w:szCs w:val="32"/>
        </w:rPr>
        <w:t>项目</w:t>
      </w:r>
      <w:r>
        <w:rPr>
          <w:rFonts w:hint="eastAsia" w:ascii="Times New Roman" w:hAnsi="仿宋" w:eastAsia="仿宋"/>
          <w:color w:val="auto"/>
          <w:sz w:val="32"/>
          <w:szCs w:val="32"/>
          <w:lang w:val="en-US" w:eastAsia="zh-CN"/>
        </w:rPr>
        <w:t>不少于2个，须附合同扫描件。</w:t>
      </w:r>
    </w:p>
    <w:p w14:paraId="5D0788F2">
      <w:pPr>
        <w:keepNext w:val="0"/>
        <w:keepLines w:val="0"/>
        <w:pageBreakBefore w:val="0"/>
        <w:widowControl w:val="0"/>
        <w:kinsoku/>
        <w:wordWrap/>
        <w:overflowPunct/>
        <w:topLinePunct w:val="0"/>
        <w:autoSpaceDE/>
        <w:autoSpaceDN/>
        <w:bidi w:val="0"/>
        <w:adjustRightInd/>
        <w:snapToGrid/>
        <w:spacing w:beforeLines="0" w:afterLines="0" w:line="528" w:lineRule="exact"/>
        <w:ind w:firstLine="640" w:firstLineChars="200"/>
        <w:textAlignment w:val="auto"/>
        <w:rPr>
          <w:rFonts w:hint="eastAsia" w:ascii="Times New Roman" w:hAnsi="Times New Roman" w:eastAsia="仿宋"/>
          <w:color w:val="auto"/>
          <w:sz w:val="32"/>
          <w:szCs w:val="32"/>
          <w:highlight w:val="none"/>
          <w:lang w:val="en-US" w:eastAsia="zh-CN"/>
        </w:rPr>
      </w:pPr>
      <w:r>
        <w:rPr>
          <w:rFonts w:hint="eastAsia" w:ascii="Times New Roman" w:hAnsi="仿宋" w:eastAsia="仿宋"/>
          <w:color w:val="auto"/>
          <w:sz w:val="32"/>
          <w:szCs w:val="32"/>
          <w:lang w:val="en-US" w:eastAsia="zh-CN"/>
        </w:rPr>
        <w:t>（三）人员要求：</w:t>
      </w:r>
      <w:r>
        <w:rPr>
          <w:rFonts w:hint="eastAsia" w:ascii="Times New Roman" w:hAnsi="Times New Roman" w:eastAsia="仿宋"/>
          <w:color w:val="auto"/>
          <w:sz w:val="32"/>
          <w:szCs w:val="32"/>
          <w:highlight w:val="none"/>
          <w:lang w:eastAsia="zh-CN"/>
        </w:rPr>
        <w:t>拟投入</w:t>
      </w:r>
      <w:r>
        <w:rPr>
          <w:rFonts w:hint="eastAsia" w:ascii="Times New Roman" w:hAnsi="Times New Roman" w:eastAsia="仿宋"/>
          <w:color w:val="auto"/>
          <w:sz w:val="32"/>
          <w:szCs w:val="32"/>
          <w:highlight w:val="none"/>
          <w:lang w:val="en-US" w:eastAsia="zh-CN"/>
        </w:rPr>
        <w:t>本项目的维保</w:t>
      </w:r>
      <w:r>
        <w:rPr>
          <w:rFonts w:hint="eastAsia" w:ascii="Times New Roman" w:hAnsi="Times New Roman" w:eastAsia="仿宋"/>
          <w:color w:val="auto"/>
          <w:sz w:val="32"/>
          <w:szCs w:val="32"/>
          <w:highlight w:val="none"/>
          <w:lang w:eastAsia="zh-CN"/>
        </w:rPr>
        <w:t>人员须具备</w:t>
      </w:r>
      <w:r>
        <w:rPr>
          <w:rFonts w:hint="eastAsia" w:ascii="Times New Roman" w:hAnsi="Times New Roman" w:eastAsia="仿宋"/>
          <w:color w:val="auto"/>
          <w:sz w:val="32"/>
          <w:szCs w:val="32"/>
          <w:highlight w:val="none"/>
          <w:lang w:val="en-US" w:eastAsia="zh-CN"/>
        </w:rPr>
        <w:t>2年及以上</w:t>
      </w:r>
      <w:r>
        <w:rPr>
          <w:rFonts w:hint="eastAsia" w:ascii="Times New Roman" w:hAnsi="Times New Roman" w:eastAsia="仿宋"/>
          <w:color w:val="auto"/>
          <w:sz w:val="32"/>
          <w:szCs w:val="32"/>
          <w:highlight w:val="none"/>
          <w:lang w:eastAsia="zh-CN"/>
        </w:rPr>
        <w:t>消防维护保养经验，</w:t>
      </w:r>
      <w:r>
        <w:rPr>
          <w:rFonts w:hint="eastAsia" w:ascii="Times New Roman" w:hAnsi="Times New Roman" w:eastAsia="仿宋"/>
          <w:color w:val="auto"/>
          <w:sz w:val="32"/>
          <w:szCs w:val="32"/>
          <w:highlight w:val="none"/>
          <w:lang w:val="en-US" w:eastAsia="zh-CN"/>
        </w:rPr>
        <w:t>须提供人员简介及人员近三个月社保缴纳证明（如有驻场人员，需注明）。</w:t>
      </w:r>
    </w:p>
    <w:p w14:paraId="19042901">
      <w:pPr>
        <w:keepNext w:val="0"/>
        <w:keepLines w:val="0"/>
        <w:pageBreakBefore w:val="0"/>
        <w:widowControl w:val="0"/>
        <w:kinsoku/>
        <w:wordWrap/>
        <w:overflowPunct/>
        <w:topLinePunct w:val="0"/>
        <w:autoSpaceDE/>
        <w:autoSpaceDN/>
        <w:bidi w:val="0"/>
        <w:adjustRightInd/>
        <w:snapToGrid/>
        <w:spacing w:beforeLines="0" w:afterLines="0" w:line="528" w:lineRule="exact"/>
        <w:ind w:firstLine="640" w:firstLineChars="200"/>
        <w:textAlignment w:val="auto"/>
        <w:rPr>
          <w:rFonts w:hint="default" w:ascii="Times New Roman" w:hAnsi="Times New Roman" w:eastAsia="仿宋"/>
          <w:color w:val="auto"/>
          <w:sz w:val="32"/>
          <w:szCs w:val="32"/>
          <w:highlight w:val="none"/>
          <w:lang w:val="en-US" w:eastAsia="zh-CN"/>
        </w:rPr>
      </w:pPr>
      <w:r>
        <w:rPr>
          <w:rFonts w:hint="eastAsia" w:ascii="Times New Roman" w:hAnsi="Times New Roman" w:eastAsia="仿宋"/>
          <w:color w:val="auto"/>
          <w:sz w:val="32"/>
          <w:szCs w:val="32"/>
          <w:highlight w:val="none"/>
          <w:lang w:val="en-US" w:eastAsia="zh-CN"/>
        </w:rPr>
        <w:t>（四）服务质量要求：维保单位须提供24小时紧急消防设备设施维修服务。一般性故障，在2小时内排除修复完毕；较复杂的故障，在8小时内排除修复完毕；特殊情况应及时书面提出申请，并征得服务单位同意。</w:t>
      </w:r>
    </w:p>
    <w:p w14:paraId="306F5BFA">
      <w:pPr>
        <w:keepNext w:val="0"/>
        <w:keepLines w:val="0"/>
        <w:pageBreakBefore w:val="0"/>
        <w:widowControl w:val="0"/>
        <w:kinsoku/>
        <w:wordWrap/>
        <w:overflowPunct/>
        <w:topLinePunct w:val="0"/>
        <w:autoSpaceDE/>
        <w:autoSpaceDN/>
        <w:bidi w:val="0"/>
        <w:adjustRightInd/>
        <w:snapToGrid/>
        <w:spacing w:beforeLines="0" w:afterLines="0" w:line="528" w:lineRule="exact"/>
        <w:ind w:firstLine="640" w:firstLineChars="200"/>
        <w:textAlignment w:val="auto"/>
        <w:rPr>
          <w:rFonts w:ascii="黑体" w:hAnsi="黑体" w:eastAsia="黑体"/>
          <w:color w:val="auto"/>
          <w:sz w:val="32"/>
          <w:szCs w:val="32"/>
        </w:rPr>
      </w:pPr>
      <w:r>
        <w:rPr>
          <w:rFonts w:ascii="黑体" w:hAnsi="黑体" w:eastAsia="黑体"/>
          <w:color w:val="auto"/>
          <w:sz w:val="32"/>
          <w:szCs w:val="32"/>
        </w:rPr>
        <w:t>三、比选须知</w:t>
      </w:r>
    </w:p>
    <w:p w14:paraId="5F9A6293">
      <w:pPr>
        <w:keepNext w:val="0"/>
        <w:keepLines w:val="0"/>
        <w:pageBreakBefore w:val="0"/>
        <w:widowControl w:val="0"/>
        <w:kinsoku/>
        <w:wordWrap/>
        <w:overflowPunct/>
        <w:topLinePunct w:val="0"/>
        <w:autoSpaceDE/>
        <w:autoSpaceDN/>
        <w:bidi w:val="0"/>
        <w:adjustRightInd/>
        <w:snapToGrid/>
        <w:spacing w:line="528" w:lineRule="exact"/>
        <w:ind w:firstLine="640" w:firstLineChars="200"/>
        <w:jc w:val="left"/>
        <w:textAlignment w:val="auto"/>
        <w:rPr>
          <w:rFonts w:hint="eastAsia" w:ascii="Times New Roman" w:hAnsi="仿宋" w:eastAsia="仿宋"/>
          <w:color w:val="auto"/>
          <w:sz w:val="32"/>
          <w:szCs w:val="32"/>
          <w:lang w:eastAsia="zh-CN"/>
        </w:rPr>
      </w:pPr>
      <w:r>
        <w:rPr>
          <w:rFonts w:hint="eastAsia" w:ascii="Times New Roman" w:hAnsi="仿宋" w:eastAsia="仿宋"/>
          <w:color w:val="auto"/>
          <w:sz w:val="32"/>
          <w:szCs w:val="32"/>
        </w:rPr>
        <w:t>（</w:t>
      </w:r>
      <w:r>
        <w:rPr>
          <w:rFonts w:hint="eastAsia" w:ascii="Times New Roman" w:hAnsi="仿宋" w:eastAsia="仿宋"/>
          <w:color w:val="auto"/>
          <w:sz w:val="32"/>
          <w:szCs w:val="32"/>
          <w:lang w:eastAsia="zh-CN"/>
        </w:rPr>
        <w:t>一</w:t>
      </w:r>
      <w:r>
        <w:rPr>
          <w:rFonts w:hint="eastAsia" w:ascii="Times New Roman" w:hAnsi="仿宋" w:eastAsia="仿宋"/>
          <w:color w:val="auto"/>
          <w:sz w:val="32"/>
          <w:szCs w:val="32"/>
        </w:rPr>
        <w:t>）比选采购范围：</w:t>
      </w:r>
      <w:r>
        <w:rPr>
          <w:rFonts w:hint="eastAsia" w:ascii="Times New Roman" w:hAnsi="仿宋" w:eastAsia="仿宋"/>
          <w:color w:val="auto"/>
          <w:sz w:val="32"/>
          <w:szCs w:val="32"/>
          <w:lang w:eastAsia="zh-CN"/>
        </w:rPr>
        <w:t>中马钦州产业园区启动区中马广场项目202</w:t>
      </w:r>
      <w:r>
        <w:rPr>
          <w:rFonts w:hint="eastAsia" w:ascii="Times New Roman" w:hAnsi="仿宋" w:eastAsia="仿宋"/>
          <w:color w:val="auto"/>
          <w:sz w:val="32"/>
          <w:szCs w:val="32"/>
          <w:lang w:val="en-US" w:eastAsia="zh-CN"/>
        </w:rPr>
        <w:t>5</w:t>
      </w:r>
      <w:r>
        <w:rPr>
          <w:rFonts w:hint="eastAsia" w:ascii="Times New Roman" w:hAnsi="仿宋" w:eastAsia="仿宋"/>
          <w:color w:val="auto"/>
          <w:sz w:val="32"/>
          <w:szCs w:val="32"/>
          <w:lang w:eastAsia="zh-CN"/>
        </w:rPr>
        <w:t>—202</w:t>
      </w:r>
      <w:r>
        <w:rPr>
          <w:rFonts w:hint="eastAsia" w:ascii="Times New Roman" w:hAnsi="仿宋" w:eastAsia="仿宋"/>
          <w:color w:val="auto"/>
          <w:sz w:val="32"/>
          <w:szCs w:val="32"/>
          <w:lang w:val="en-US" w:eastAsia="zh-CN"/>
        </w:rPr>
        <w:t>6</w:t>
      </w:r>
      <w:r>
        <w:rPr>
          <w:rFonts w:hint="eastAsia" w:ascii="Times New Roman" w:hAnsi="仿宋" w:eastAsia="仿宋"/>
          <w:color w:val="auto"/>
          <w:sz w:val="32"/>
          <w:szCs w:val="32"/>
          <w:lang w:eastAsia="zh-CN"/>
        </w:rPr>
        <w:t>年消防维保服务</w:t>
      </w:r>
      <w:r>
        <w:rPr>
          <w:rFonts w:hint="eastAsia" w:ascii="仿宋" w:hAnsi="仿宋" w:eastAsia="仿宋"/>
          <w:bCs/>
          <w:color w:val="auto"/>
          <w:sz w:val="32"/>
          <w:szCs w:val="32"/>
        </w:rPr>
        <w:t>。</w:t>
      </w:r>
    </w:p>
    <w:p w14:paraId="39FFCDCC">
      <w:pPr>
        <w:keepNext w:val="0"/>
        <w:keepLines w:val="0"/>
        <w:pageBreakBefore w:val="0"/>
        <w:widowControl w:val="0"/>
        <w:kinsoku/>
        <w:wordWrap/>
        <w:overflowPunct/>
        <w:topLinePunct w:val="0"/>
        <w:autoSpaceDE/>
        <w:autoSpaceDN/>
        <w:bidi w:val="0"/>
        <w:adjustRightInd/>
        <w:snapToGrid/>
        <w:spacing w:line="528" w:lineRule="exact"/>
        <w:ind w:left="0" w:leftChars="0" w:right="0" w:rightChars="0" w:firstLine="640" w:firstLineChars="200"/>
        <w:jc w:val="both"/>
        <w:textAlignment w:val="auto"/>
        <w:outlineLvl w:val="9"/>
        <w:rPr>
          <w:rFonts w:hint="eastAsia" w:ascii="Times New Roman" w:hAnsi="仿宋" w:eastAsia="仿宋"/>
          <w:color w:val="auto"/>
          <w:sz w:val="32"/>
          <w:szCs w:val="32"/>
          <w:lang w:eastAsia="zh-CN"/>
        </w:rPr>
      </w:pPr>
      <w:r>
        <w:rPr>
          <w:rFonts w:hint="eastAsia" w:ascii="Times New Roman" w:hAnsi="仿宋" w:eastAsia="仿宋"/>
          <w:color w:val="auto"/>
          <w:sz w:val="32"/>
          <w:szCs w:val="32"/>
          <w:lang w:eastAsia="zh-CN"/>
        </w:rPr>
        <w:t>（二）接收报价文件截止日期：至20</w:t>
      </w:r>
      <w:r>
        <w:rPr>
          <w:rFonts w:hint="eastAsia" w:ascii="Times New Roman" w:hAnsi="仿宋" w:eastAsia="仿宋"/>
          <w:color w:val="auto"/>
          <w:sz w:val="32"/>
          <w:szCs w:val="32"/>
          <w:lang w:val="en-US" w:eastAsia="zh-CN"/>
        </w:rPr>
        <w:t>25</w:t>
      </w:r>
      <w:r>
        <w:rPr>
          <w:rFonts w:hint="eastAsia" w:ascii="Times New Roman" w:hAnsi="仿宋" w:eastAsia="仿宋"/>
          <w:color w:val="auto"/>
          <w:sz w:val="32"/>
          <w:szCs w:val="32"/>
          <w:lang w:eastAsia="zh-CN"/>
        </w:rPr>
        <w:t>年</w:t>
      </w:r>
      <w:r>
        <w:rPr>
          <w:rFonts w:hint="eastAsia" w:ascii="Times New Roman" w:hAnsi="仿宋" w:eastAsia="仿宋"/>
          <w:color w:val="auto"/>
          <w:sz w:val="32"/>
          <w:szCs w:val="32"/>
          <w:lang w:val="en-US" w:eastAsia="zh-CN"/>
        </w:rPr>
        <w:t>8</w:t>
      </w:r>
      <w:r>
        <w:rPr>
          <w:rFonts w:hint="eastAsia" w:ascii="Times New Roman" w:hAnsi="仿宋" w:eastAsia="仿宋"/>
          <w:color w:val="auto"/>
          <w:sz w:val="32"/>
          <w:szCs w:val="32"/>
          <w:lang w:eastAsia="zh-CN"/>
        </w:rPr>
        <w:t>月</w:t>
      </w:r>
      <w:r>
        <w:rPr>
          <w:rFonts w:hint="eastAsia" w:ascii="Times New Roman" w:hAnsi="仿宋" w:eastAsia="仿宋"/>
          <w:color w:val="auto"/>
          <w:sz w:val="32"/>
          <w:szCs w:val="32"/>
          <w:lang w:val="en-US" w:eastAsia="zh-CN"/>
        </w:rPr>
        <w:t>5</w:t>
      </w:r>
      <w:r>
        <w:rPr>
          <w:rFonts w:hint="eastAsia" w:ascii="Times New Roman" w:hAnsi="仿宋" w:eastAsia="仿宋"/>
          <w:color w:val="auto"/>
          <w:sz w:val="32"/>
          <w:szCs w:val="32"/>
          <w:lang w:eastAsia="zh-CN"/>
        </w:rPr>
        <w:t>日1</w:t>
      </w:r>
      <w:r>
        <w:rPr>
          <w:rFonts w:hint="eastAsia" w:ascii="Times New Roman" w:hAnsi="仿宋" w:eastAsia="仿宋"/>
          <w:color w:val="auto"/>
          <w:sz w:val="32"/>
          <w:szCs w:val="32"/>
          <w:lang w:val="en-US" w:eastAsia="zh-CN"/>
        </w:rPr>
        <w:t>8</w:t>
      </w:r>
      <w:r>
        <w:rPr>
          <w:rFonts w:hint="eastAsia" w:ascii="Times New Roman" w:hAnsi="仿宋" w:eastAsia="仿宋"/>
          <w:color w:val="auto"/>
          <w:sz w:val="32"/>
          <w:szCs w:val="32"/>
          <w:lang w:eastAsia="zh-CN"/>
        </w:rPr>
        <w:t>:00止。</w:t>
      </w:r>
    </w:p>
    <w:p w14:paraId="2489BDA0">
      <w:pPr>
        <w:keepNext w:val="0"/>
        <w:keepLines w:val="0"/>
        <w:pageBreakBefore w:val="0"/>
        <w:widowControl w:val="0"/>
        <w:kinsoku/>
        <w:wordWrap/>
        <w:overflowPunct/>
        <w:topLinePunct w:val="0"/>
        <w:autoSpaceDE/>
        <w:autoSpaceDN/>
        <w:bidi w:val="0"/>
        <w:adjustRightInd/>
        <w:snapToGrid/>
        <w:spacing w:line="528" w:lineRule="exact"/>
        <w:ind w:left="0" w:leftChars="0" w:right="0" w:rightChars="0" w:firstLine="640" w:firstLineChars="200"/>
        <w:textAlignment w:val="auto"/>
        <w:outlineLvl w:val="9"/>
        <w:rPr>
          <w:rFonts w:hint="eastAsia" w:ascii="Times New Roman" w:hAnsi="仿宋" w:eastAsia="仿宋"/>
          <w:color w:val="auto"/>
          <w:sz w:val="32"/>
          <w:szCs w:val="32"/>
          <w:lang w:eastAsia="zh-CN"/>
        </w:rPr>
      </w:pPr>
      <w:r>
        <w:rPr>
          <w:rFonts w:ascii="Times New Roman" w:hAnsi="仿宋" w:eastAsia="仿宋"/>
          <w:color w:val="auto"/>
          <w:sz w:val="32"/>
          <w:szCs w:val="32"/>
        </w:rPr>
        <w:t>（三）</w:t>
      </w:r>
      <w:r>
        <w:rPr>
          <w:rFonts w:hint="eastAsia" w:ascii="Times New Roman" w:hAnsi="仿宋" w:eastAsia="仿宋"/>
          <w:color w:val="auto"/>
          <w:sz w:val="32"/>
          <w:szCs w:val="32"/>
        </w:rPr>
        <w:t>服务期限：1年</w:t>
      </w:r>
      <w:r>
        <w:rPr>
          <w:rFonts w:hint="eastAsia" w:ascii="Times New Roman" w:hAnsi="仿宋" w:eastAsia="仿宋"/>
          <w:color w:val="auto"/>
          <w:sz w:val="32"/>
          <w:szCs w:val="32"/>
          <w:lang w:eastAsia="zh-CN"/>
        </w:rPr>
        <w:t>（</w:t>
      </w:r>
      <w:r>
        <w:rPr>
          <w:rFonts w:hint="eastAsia" w:ascii="Times New Roman" w:hAnsi="仿宋" w:eastAsia="仿宋"/>
          <w:color w:val="auto"/>
          <w:sz w:val="32"/>
          <w:szCs w:val="32"/>
          <w:lang w:val="en-US" w:eastAsia="zh-CN"/>
        </w:rPr>
        <w:t>暂定2025年8月16日—2026年8月15日，最终以通知的进场时间为准</w:t>
      </w:r>
      <w:r>
        <w:rPr>
          <w:rFonts w:hint="eastAsia" w:ascii="Times New Roman" w:hAnsi="仿宋" w:eastAsia="仿宋"/>
          <w:color w:val="auto"/>
          <w:sz w:val="32"/>
          <w:szCs w:val="32"/>
          <w:lang w:eastAsia="zh-CN"/>
        </w:rPr>
        <w:t>）。</w:t>
      </w:r>
    </w:p>
    <w:p w14:paraId="2678B014">
      <w:pPr>
        <w:keepNext w:val="0"/>
        <w:keepLines w:val="0"/>
        <w:pageBreakBefore w:val="0"/>
        <w:widowControl w:val="0"/>
        <w:kinsoku/>
        <w:wordWrap/>
        <w:overflowPunct/>
        <w:topLinePunct w:val="0"/>
        <w:autoSpaceDE/>
        <w:autoSpaceDN/>
        <w:bidi w:val="0"/>
        <w:adjustRightInd/>
        <w:snapToGrid/>
        <w:spacing w:line="528" w:lineRule="exact"/>
        <w:ind w:left="0" w:leftChars="0" w:right="0" w:rightChars="0" w:firstLine="640" w:firstLineChars="200"/>
        <w:jc w:val="both"/>
        <w:textAlignment w:val="auto"/>
        <w:outlineLvl w:val="9"/>
        <w:rPr>
          <w:rFonts w:hint="eastAsia" w:ascii="Times New Roman" w:hAnsi="仿宋" w:eastAsia="仿宋"/>
          <w:color w:val="auto"/>
          <w:sz w:val="32"/>
          <w:szCs w:val="32"/>
          <w:lang w:eastAsia="zh-CN"/>
        </w:rPr>
      </w:pPr>
      <w:r>
        <w:rPr>
          <w:rFonts w:hint="eastAsia" w:ascii="Times New Roman" w:hAnsi="仿宋" w:eastAsia="仿宋"/>
          <w:color w:val="auto"/>
          <w:sz w:val="32"/>
          <w:szCs w:val="32"/>
        </w:rPr>
        <w:t>（四）预算控制价为：</w:t>
      </w:r>
      <w:r>
        <w:rPr>
          <w:rFonts w:hint="eastAsia" w:ascii="仿宋" w:hAnsi="仿宋" w:eastAsia="仿宋"/>
          <w:color w:val="auto"/>
          <w:sz w:val="32"/>
          <w:szCs w:val="32"/>
          <w:lang w:val="en-US" w:eastAsia="zh-CN"/>
        </w:rPr>
        <w:t>112000.00</w:t>
      </w:r>
      <w:r>
        <w:rPr>
          <w:rFonts w:hint="eastAsia" w:ascii="Times New Roman" w:hAnsi="仿宋" w:eastAsia="仿宋"/>
          <w:color w:val="auto"/>
          <w:sz w:val="32"/>
          <w:szCs w:val="32"/>
        </w:rPr>
        <w:t>元</w:t>
      </w:r>
      <w:r>
        <w:rPr>
          <w:rFonts w:hint="eastAsia" w:ascii="Times New Roman" w:hAnsi="仿宋" w:eastAsia="仿宋"/>
          <w:color w:val="auto"/>
          <w:sz w:val="32"/>
          <w:szCs w:val="32"/>
          <w:lang w:eastAsia="zh-CN"/>
        </w:rPr>
        <w:t>。</w:t>
      </w:r>
    </w:p>
    <w:p w14:paraId="53512FC2">
      <w:pPr>
        <w:keepNext w:val="0"/>
        <w:keepLines w:val="0"/>
        <w:pageBreakBefore w:val="0"/>
        <w:widowControl w:val="0"/>
        <w:kinsoku/>
        <w:wordWrap/>
        <w:overflowPunct/>
        <w:topLinePunct w:val="0"/>
        <w:autoSpaceDE/>
        <w:autoSpaceDN/>
        <w:bidi w:val="0"/>
        <w:adjustRightInd/>
        <w:snapToGrid/>
        <w:spacing w:line="528" w:lineRule="exact"/>
        <w:ind w:left="0" w:leftChars="0" w:right="0" w:rightChars="0" w:firstLine="640" w:firstLineChars="200"/>
        <w:jc w:val="both"/>
        <w:textAlignment w:val="auto"/>
        <w:outlineLvl w:val="9"/>
        <w:rPr>
          <w:rFonts w:hint="default" w:ascii="仿宋" w:hAnsi="仿宋" w:eastAsia="仿宋" w:cs="仿宋"/>
          <w:color w:val="auto"/>
          <w:sz w:val="32"/>
          <w:szCs w:val="32"/>
          <w:u w:val="none"/>
          <w:lang w:val="en-US" w:eastAsia="zh-CN"/>
        </w:rPr>
      </w:pPr>
      <w:r>
        <w:rPr>
          <w:rFonts w:hint="eastAsia" w:ascii="仿宋" w:hAnsi="仿宋" w:eastAsia="仿宋" w:cs="仿宋"/>
          <w:color w:val="auto"/>
          <w:sz w:val="32"/>
          <w:szCs w:val="32"/>
          <w:lang w:val="en-US" w:eastAsia="zh-CN"/>
        </w:rPr>
        <w:t>（五）履约保证金：</w:t>
      </w:r>
      <w:r>
        <w:rPr>
          <w:rFonts w:hint="eastAsia" w:ascii="仿宋" w:hAnsi="仿宋" w:eastAsia="仿宋"/>
          <w:color w:val="auto"/>
          <w:kern w:val="0"/>
          <w:sz w:val="30"/>
          <w:szCs w:val="30"/>
        </w:rPr>
        <w:t>合同总金额的</w:t>
      </w:r>
      <w:r>
        <w:rPr>
          <w:rFonts w:ascii="仿宋" w:hAnsi="仿宋" w:eastAsia="仿宋"/>
          <w:color w:val="auto"/>
          <w:kern w:val="0"/>
          <w:sz w:val="30"/>
          <w:szCs w:val="30"/>
          <w:u w:val="none"/>
        </w:rPr>
        <w:t>5%</w:t>
      </w:r>
      <w:r>
        <w:rPr>
          <w:rFonts w:hint="eastAsia" w:ascii="仿宋" w:hAnsi="仿宋" w:eastAsia="仿宋"/>
          <w:color w:val="auto"/>
          <w:kern w:val="0"/>
          <w:sz w:val="30"/>
          <w:szCs w:val="30"/>
          <w:u w:val="none"/>
          <w:lang w:eastAsia="zh-CN"/>
        </w:rPr>
        <w:t>（</w:t>
      </w:r>
      <w:r>
        <w:rPr>
          <w:rFonts w:hint="eastAsia" w:ascii="仿宋" w:hAnsi="仿宋" w:eastAsia="仿宋"/>
          <w:color w:val="auto"/>
          <w:kern w:val="0"/>
          <w:sz w:val="30"/>
          <w:szCs w:val="30"/>
        </w:rPr>
        <w:t>合同签订后</w:t>
      </w:r>
      <w:r>
        <w:rPr>
          <w:rFonts w:hint="eastAsia" w:ascii="仿宋" w:hAnsi="仿宋" w:eastAsia="仿宋"/>
          <w:color w:val="auto"/>
          <w:kern w:val="0"/>
          <w:sz w:val="30"/>
          <w:szCs w:val="30"/>
          <w:lang w:val="en-US" w:eastAsia="zh-CN"/>
        </w:rPr>
        <w:t>10</w:t>
      </w:r>
      <w:r>
        <w:rPr>
          <w:rFonts w:hint="eastAsia" w:ascii="仿宋" w:hAnsi="仿宋" w:eastAsia="仿宋"/>
          <w:color w:val="auto"/>
          <w:kern w:val="0"/>
          <w:sz w:val="30"/>
          <w:szCs w:val="30"/>
        </w:rPr>
        <w:t>日内</w:t>
      </w:r>
      <w:r>
        <w:rPr>
          <w:rFonts w:hint="eastAsia" w:ascii="仿宋" w:hAnsi="仿宋" w:eastAsia="仿宋"/>
          <w:color w:val="auto"/>
          <w:kern w:val="0"/>
          <w:sz w:val="30"/>
          <w:szCs w:val="30"/>
          <w:lang w:val="en-US" w:eastAsia="zh-CN"/>
        </w:rPr>
        <w:t>缴纳</w:t>
      </w:r>
      <w:r>
        <w:rPr>
          <w:rFonts w:hint="eastAsia" w:ascii="仿宋" w:hAnsi="仿宋" w:eastAsia="仿宋"/>
          <w:color w:val="auto"/>
          <w:kern w:val="0"/>
          <w:sz w:val="30"/>
          <w:szCs w:val="30"/>
          <w:u w:val="none"/>
          <w:lang w:eastAsia="zh-CN"/>
        </w:rPr>
        <w:t>）。</w:t>
      </w:r>
    </w:p>
    <w:p w14:paraId="7551B43C">
      <w:pPr>
        <w:keepNext w:val="0"/>
        <w:keepLines w:val="0"/>
        <w:pageBreakBefore w:val="0"/>
        <w:widowControl w:val="0"/>
        <w:kinsoku/>
        <w:wordWrap/>
        <w:overflowPunct/>
        <w:topLinePunct w:val="0"/>
        <w:autoSpaceDE/>
        <w:autoSpaceDN/>
        <w:bidi w:val="0"/>
        <w:adjustRightInd/>
        <w:snapToGrid/>
        <w:spacing w:line="528"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（六）付款方式：详见比选文件附件合同。</w:t>
      </w:r>
    </w:p>
    <w:p w14:paraId="1AB690D9">
      <w:pPr>
        <w:keepNext w:val="0"/>
        <w:keepLines w:val="0"/>
        <w:pageBreakBefore w:val="0"/>
        <w:widowControl w:val="0"/>
        <w:kinsoku/>
        <w:wordWrap/>
        <w:overflowPunct/>
        <w:topLinePunct w:val="0"/>
        <w:autoSpaceDE/>
        <w:autoSpaceDN/>
        <w:bidi w:val="0"/>
        <w:adjustRightInd/>
        <w:snapToGrid/>
        <w:spacing w:beforeLines="0" w:afterLines="0" w:line="528" w:lineRule="exact"/>
        <w:ind w:firstLine="640" w:firstLineChars="200"/>
        <w:textAlignment w:val="auto"/>
        <w:rPr>
          <w:rFonts w:ascii="Times New Roman" w:hAnsi="Times New Roman" w:eastAsia="仿宋"/>
          <w:color w:val="auto"/>
          <w:sz w:val="32"/>
          <w:szCs w:val="32"/>
        </w:rPr>
      </w:pPr>
      <w:r>
        <w:rPr>
          <w:rFonts w:ascii="Times New Roman" w:hAnsi="仿宋" w:eastAsia="仿宋"/>
          <w:color w:val="auto"/>
          <w:sz w:val="32"/>
          <w:szCs w:val="32"/>
        </w:rPr>
        <w:t>（</w:t>
      </w:r>
      <w:r>
        <w:rPr>
          <w:rFonts w:hint="eastAsia" w:ascii="Times New Roman" w:hAnsi="仿宋" w:eastAsia="仿宋"/>
          <w:color w:val="auto"/>
          <w:sz w:val="32"/>
          <w:szCs w:val="32"/>
          <w:lang w:val="en-US" w:eastAsia="zh-CN"/>
        </w:rPr>
        <w:t>七</w:t>
      </w:r>
      <w:r>
        <w:rPr>
          <w:rFonts w:ascii="Times New Roman" w:hAnsi="仿宋" w:eastAsia="仿宋"/>
          <w:color w:val="auto"/>
          <w:sz w:val="32"/>
          <w:szCs w:val="32"/>
        </w:rPr>
        <w:t>）报价文件资料清单</w:t>
      </w:r>
      <w:r>
        <w:rPr>
          <w:rFonts w:hint="eastAsia" w:ascii="Times New Roman" w:hAnsi="仿宋" w:eastAsia="仿宋"/>
          <w:b/>
          <w:bCs/>
          <w:color w:val="auto"/>
          <w:sz w:val="32"/>
          <w:szCs w:val="32"/>
        </w:rPr>
        <w:t>（以下文件必须提供且均需加盖公章</w:t>
      </w:r>
      <w:r>
        <w:rPr>
          <w:rFonts w:hint="eastAsia" w:ascii="Times New Roman" w:hAnsi="仿宋" w:eastAsia="仿宋"/>
          <w:b/>
          <w:bCs/>
          <w:color w:val="auto"/>
          <w:sz w:val="32"/>
          <w:szCs w:val="32"/>
          <w:lang w:eastAsia="zh-CN"/>
        </w:rPr>
        <w:t>并标注页码</w:t>
      </w:r>
      <w:r>
        <w:rPr>
          <w:rFonts w:hint="eastAsia" w:ascii="Times New Roman" w:hAnsi="仿宋" w:eastAsia="仿宋"/>
          <w:b/>
          <w:bCs/>
          <w:color w:val="auto"/>
          <w:sz w:val="32"/>
          <w:szCs w:val="32"/>
        </w:rPr>
        <w:t>）</w:t>
      </w:r>
    </w:p>
    <w:p w14:paraId="5769FB37">
      <w:pPr>
        <w:keepNext w:val="0"/>
        <w:keepLines w:val="0"/>
        <w:pageBreakBefore w:val="0"/>
        <w:widowControl w:val="0"/>
        <w:kinsoku/>
        <w:wordWrap/>
        <w:overflowPunct/>
        <w:topLinePunct w:val="0"/>
        <w:autoSpaceDE/>
        <w:autoSpaceDN/>
        <w:bidi w:val="0"/>
        <w:adjustRightInd/>
        <w:snapToGrid/>
        <w:spacing w:line="528" w:lineRule="exact"/>
        <w:ind w:firstLine="640" w:firstLineChars="200"/>
        <w:textAlignment w:val="auto"/>
        <w:outlineLvl w:val="9"/>
        <w:rPr>
          <w:rFonts w:hint="eastAsia" w:ascii="Times New Roman" w:hAnsi="仿宋" w:eastAsia="仿宋"/>
          <w:color w:val="auto"/>
          <w:sz w:val="32"/>
          <w:szCs w:val="32"/>
          <w:lang w:eastAsia="zh-CN"/>
        </w:rPr>
      </w:pPr>
      <w:r>
        <w:rPr>
          <w:rFonts w:hint="eastAsia" w:ascii="Times New Roman" w:hAnsi="仿宋" w:eastAsia="仿宋"/>
          <w:color w:val="auto"/>
          <w:sz w:val="32"/>
          <w:szCs w:val="32"/>
          <w:lang w:eastAsia="zh-CN"/>
        </w:rPr>
        <w:t>目录</w:t>
      </w:r>
    </w:p>
    <w:p w14:paraId="3E7FA2EB">
      <w:pPr>
        <w:keepNext w:val="0"/>
        <w:keepLines w:val="0"/>
        <w:pageBreakBefore w:val="0"/>
        <w:widowControl w:val="0"/>
        <w:kinsoku/>
        <w:wordWrap/>
        <w:overflowPunct/>
        <w:topLinePunct w:val="0"/>
        <w:autoSpaceDE/>
        <w:autoSpaceDN/>
        <w:bidi w:val="0"/>
        <w:adjustRightInd/>
        <w:snapToGrid/>
        <w:spacing w:line="528" w:lineRule="exact"/>
        <w:ind w:firstLine="640" w:firstLineChars="200"/>
        <w:textAlignment w:val="auto"/>
        <w:outlineLvl w:val="9"/>
        <w:rPr>
          <w:rFonts w:hint="eastAsia" w:ascii="Times New Roman" w:hAnsi="仿宋" w:eastAsia="仿宋"/>
          <w:color w:val="auto"/>
          <w:sz w:val="32"/>
          <w:szCs w:val="32"/>
          <w:lang w:eastAsia="zh-CN"/>
        </w:rPr>
      </w:pPr>
      <w:r>
        <w:rPr>
          <w:rFonts w:hint="eastAsia" w:ascii="Times New Roman" w:hAnsi="仿宋" w:eastAsia="仿宋"/>
          <w:color w:val="auto"/>
          <w:sz w:val="32"/>
          <w:szCs w:val="32"/>
          <w:lang w:eastAsia="zh-CN"/>
        </w:rPr>
        <w:t>第一章、报价人简介；</w:t>
      </w:r>
    </w:p>
    <w:p w14:paraId="084E68C8">
      <w:pPr>
        <w:keepNext w:val="0"/>
        <w:keepLines w:val="0"/>
        <w:pageBreakBefore w:val="0"/>
        <w:widowControl w:val="0"/>
        <w:kinsoku/>
        <w:wordWrap/>
        <w:overflowPunct/>
        <w:topLinePunct w:val="0"/>
        <w:autoSpaceDE/>
        <w:autoSpaceDN/>
        <w:bidi w:val="0"/>
        <w:adjustRightInd/>
        <w:snapToGrid/>
        <w:spacing w:line="528" w:lineRule="exact"/>
        <w:ind w:firstLine="640" w:firstLineChars="200"/>
        <w:textAlignment w:val="auto"/>
        <w:outlineLvl w:val="9"/>
        <w:rPr>
          <w:rFonts w:hint="eastAsia" w:ascii="Times New Roman" w:hAnsi="仿宋" w:eastAsia="仿宋"/>
          <w:color w:val="auto"/>
          <w:sz w:val="32"/>
          <w:szCs w:val="32"/>
          <w:lang w:eastAsia="zh-CN"/>
        </w:rPr>
      </w:pPr>
      <w:r>
        <w:rPr>
          <w:rFonts w:hint="eastAsia" w:ascii="Times New Roman" w:hAnsi="仿宋" w:eastAsia="仿宋"/>
          <w:color w:val="auto"/>
          <w:sz w:val="32"/>
          <w:szCs w:val="32"/>
          <w:lang w:eastAsia="zh-CN"/>
        </w:rPr>
        <w:t>第二章、</w:t>
      </w:r>
      <w:r>
        <w:rPr>
          <w:rFonts w:hint="eastAsia" w:ascii="Times New Roman" w:hAnsi="仿宋" w:eastAsia="仿宋"/>
          <w:color w:val="auto"/>
          <w:sz w:val="32"/>
          <w:szCs w:val="32"/>
        </w:rPr>
        <w:t>营业执照；</w:t>
      </w:r>
      <w:r>
        <w:rPr>
          <w:rFonts w:hint="eastAsia" w:ascii="Times New Roman" w:hAnsi="仿宋" w:eastAsia="仿宋"/>
          <w:color w:val="auto"/>
          <w:sz w:val="32"/>
          <w:szCs w:val="32"/>
          <w:lang w:eastAsia="zh-CN"/>
        </w:rPr>
        <w:t>真实有效的网页备案截图；</w:t>
      </w:r>
    </w:p>
    <w:p w14:paraId="0EE263BD">
      <w:pPr>
        <w:keepNext w:val="0"/>
        <w:keepLines w:val="0"/>
        <w:pageBreakBefore w:val="0"/>
        <w:widowControl w:val="0"/>
        <w:kinsoku/>
        <w:wordWrap/>
        <w:overflowPunct/>
        <w:topLinePunct w:val="0"/>
        <w:autoSpaceDE/>
        <w:autoSpaceDN/>
        <w:bidi w:val="0"/>
        <w:adjustRightInd/>
        <w:snapToGrid/>
        <w:spacing w:line="528" w:lineRule="exact"/>
        <w:ind w:firstLine="640" w:firstLineChars="200"/>
        <w:textAlignment w:val="auto"/>
        <w:outlineLvl w:val="9"/>
        <w:rPr>
          <w:rFonts w:hint="eastAsia" w:ascii="Times New Roman" w:hAnsi="仿宋" w:eastAsia="仿宋"/>
          <w:color w:val="auto"/>
          <w:sz w:val="32"/>
          <w:szCs w:val="32"/>
        </w:rPr>
      </w:pPr>
      <w:r>
        <w:rPr>
          <w:rFonts w:hint="eastAsia" w:ascii="Times New Roman" w:hAnsi="仿宋" w:eastAsia="仿宋"/>
          <w:color w:val="auto"/>
          <w:sz w:val="32"/>
          <w:szCs w:val="32"/>
          <w:lang w:eastAsia="zh-CN"/>
        </w:rPr>
        <w:t>第三章、</w:t>
      </w:r>
      <w:r>
        <w:rPr>
          <w:rFonts w:hint="eastAsia" w:ascii="Times New Roman" w:hAnsi="仿宋" w:eastAsia="仿宋"/>
          <w:color w:val="auto"/>
          <w:sz w:val="32"/>
          <w:szCs w:val="32"/>
        </w:rPr>
        <w:t>报价函（报</w:t>
      </w:r>
      <w:r>
        <w:rPr>
          <w:rFonts w:hint="eastAsia" w:ascii="Times New Roman" w:hAnsi="仿宋" w:eastAsia="仿宋"/>
          <w:color w:val="auto"/>
          <w:sz w:val="32"/>
          <w:szCs w:val="32"/>
          <w:lang w:eastAsia="zh-CN"/>
        </w:rPr>
        <w:t>包干</w:t>
      </w:r>
      <w:r>
        <w:rPr>
          <w:rFonts w:hint="eastAsia" w:ascii="Times New Roman" w:hAnsi="仿宋" w:eastAsia="仿宋"/>
          <w:color w:val="auto"/>
          <w:sz w:val="32"/>
          <w:szCs w:val="32"/>
        </w:rPr>
        <w:t>总价</w:t>
      </w:r>
      <w:r>
        <w:rPr>
          <w:rFonts w:hint="eastAsia" w:ascii="Times New Roman" w:hAnsi="仿宋" w:eastAsia="仿宋"/>
          <w:color w:val="auto"/>
          <w:sz w:val="32"/>
          <w:szCs w:val="32"/>
          <w:lang w:eastAsia="zh-CN"/>
        </w:rPr>
        <w:t>（含税，税率为</w:t>
      </w:r>
      <w:r>
        <w:rPr>
          <w:rFonts w:hint="eastAsia" w:ascii="Times New Roman" w:hAnsi="仿宋" w:eastAsia="仿宋"/>
          <w:color w:val="auto"/>
          <w:sz w:val="32"/>
          <w:szCs w:val="32"/>
          <w:u w:val="single"/>
          <w:lang w:val="en-US" w:eastAsia="zh-CN"/>
        </w:rPr>
        <w:t xml:space="preserve">  </w:t>
      </w:r>
      <w:r>
        <w:rPr>
          <w:rFonts w:hint="eastAsia" w:ascii="Times New Roman" w:hAnsi="仿宋" w:eastAsia="仿宋"/>
          <w:color w:val="auto"/>
          <w:sz w:val="32"/>
          <w:szCs w:val="32"/>
          <w:lang w:val="en-US" w:eastAsia="zh-CN"/>
        </w:rPr>
        <w:t>%</w:t>
      </w:r>
      <w:r>
        <w:rPr>
          <w:rFonts w:hint="eastAsia" w:ascii="Times New Roman" w:hAnsi="仿宋" w:eastAsia="仿宋"/>
          <w:color w:val="auto"/>
          <w:sz w:val="32"/>
          <w:szCs w:val="32"/>
          <w:lang w:eastAsia="zh-CN"/>
        </w:rPr>
        <w:t>）</w:t>
      </w:r>
      <w:r>
        <w:rPr>
          <w:rFonts w:hint="eastAsia" w:ascii="Times New Roman" w:hAnsi="仿宋" w:eastAsia="仿宋"/>
          <w:color w:val="auto"/>
          <w:sz w:val="32"/>
          <w:szCs w:val="32"/>
        </w:rPr>
        <w:t>，</w:t>
      </w:r>
      <w:r>
        <w:rPr>
          <w:rFonts w:hint="eastAsia" w:ascii="Times New Roman" w:hAnsi="仿宋" w:eastAsia="仿宋"/>
          <w:color w:val="auto"/>
          <w:sz w:val="32"/>
          <w:szCs w:val="32"/>
          <w:lang w:eastAsia="zh-CN"/>
        </w:rPr>
        <w:t>同时附报价单位联系人、联系方式、报价单位开户银行及账号等</w:t>
      </w:r>
      <w:r>
        <w:rPr>
          <w:rFonts w:hint="eastAsia" w:ascii="Times New Roman" w:hAnsi="仿宋" w:eastAsia="仿宋"/>
          <w:color w:val="auto"/>
          <w:sz w:val="32"/>
          <w:szCs w:val="32"/>
        </w:rPr>
        <w:t>）；</w:t>
      </w:r>
    </w:p>
    <w:p w14:paraId="14FEE331">
      <w:pPr>
        <w:keepNext w:val="0"/>
        <w:keepLines w:val="0"/>
        <w:pageBreakBefore w:val="0"/>
        <w:widowControl w:val="0"/>
        <w:kinsoku/>
        <w:wordWrap/>
        <w:overflowPunct/>
        <w:topLinePunct w:val="0"/>
        <w:autoSpaceDE/>
        <w:autoSpaceDN/>
        <w:bidi w:val="0"/>
        <w:adjustRightInd/>
        <w:snapToGrid/>
        <w:spacing w:line="528" w:lineRule="exact"/>
        <w:ind w:left="0" w:leftChars="0" w:right="0" w:rightChars="0" w:firstLine="640" w:firstLineChars="200"/>
        <w:jc w:val="both"/>
        <w:textAlignment w:val="auto"/>
        <w:outlineLvl w:val="9"/>
        <w:rPr>
          <w:rFonts w:hint="eastAsia" w:ascii="Times New Roman" w:hAnsi="仿宋" w:eastAsia="仿宋"/>
          <w:color w:val="auto"/>
          <w:sz w:val="32"/>
          <w:szCs w:val="32"/>
        </w:rPr>
      </w:pPr>
      <w:r>
        <w:rPr>
          <w:rFonts w:hint="eastAsia" w:ascii="Times New Roman" w:hAnsi="仿宋" w:eastAsia="仿宋"/>
          <w:color w:val="auto"/>
          <w:sz w:val="32"/>
          <w:szCs w:val="32"/>
          <w:lang w:eastAsia="zh-CN"/>
        </w:rPr>
        <w:t>第四章、</w:t>
      </w:r>
      <w:r>
        <w:rPr>
          <w:rFonts w:hint="eastAsia" w:ascii="Times New Roman" w:hAnsi="仿宋" w:eastAsia="仿宋"/>
          <w:color w:val="auto"/>
          <w:sz w:val="32"/>
          <w:szCs w:val="32"/>
          <w:lang w:val="en-US" w:eastAsia="zh-CN"/>
        </w:rPr>
        <w:t>维保单位</w:t>
      </w:r>
      <w:r>
        <w:rPr>
          <w:rFonts w:hint="eastAsia" w:ascii="Times New Roman" w:hAnsi="仿宋" w:eastAsia="仿宋"/>
          <w:color w:val="auto"/>
          <w:sz w:val="32"/>
          <w:szCs w:val="32"/>
        </w:rPr>
        <w:t>近</w:t>
      </w:r>
      <w:r>
        <w:rPr>
          <w:rFonts w:hint="eastAsia" w:ascii="Times New Roman" w:hAnsi="仿宋" w:eastAsia="仿宋"/>
          <w:color w:val="auto"/>
          <w:sz w:val="32"/>
          <w:szCs w:val="32"/>
          <w:lang w:eastAsia="zh-CN"/>
        </w:rPr>
        <w:t>两</w:t>
      </w:r>
      <w:r>
        <w:rPr>
          <w:rFonts w:hint="eastAsia" w:ascii="Times New Roman" w:hAnsi="仿宋" w:eastAsia="仿宋"/>
          <w:color w:val="auto"/>
          <w:sz w:val="32"/>
          <w:szCs w:val="32"/>
        </w:rPr>
        <w:t>年</w:t>
      </w:r>
      <w:r>
        <w:rPr>
          <w:rFonts w:hint="eastAsia" w:ascii="Times New Roman" w:hAnsi="仿宋" w:eastAsia="仿宋"/>
          <w:color w:val="auto"/>
          <w:sz w:val="32"/>
          <w:szCs w:val="32"/>
          <w:lang w:val="en-US" w:eastAsia="zh-CN"/>
        </w:rPr>
        <w:t>承接的</w:t>
      </w:r>
      <w:r>
        <w:rPr>
          <w:rFonts w:hint="eastAsia" w:ascii="Times New Roman" w:hAnsi="仿宋" w:eastAsia="仿宋"/>
          <w:color w:val="auto"/>
          <w:sz w:val="32"/>
          <w:szCs w:val="32"/>
        </w:rPr>
        <w:t>类似</w:t>
      </w:r>
      <w:r>
        <w:rPr>
          <w:rFonts w:hint="eastAsia" w:ascii="Times New Roman" w:hAnsi="仿宋" w:eastAsia="仿宋"/>
          <w:color w:val="auto"/>
          <w:sz w:val="32"/>
          <w:szCs w:val="32"/>
          <w:lang w:eastAsia="zh-CN"/>
        </w:rPr>
        <w:t>维保服务</w:t>
      </w:r>
      <w:r>
        <w:rPr>
          <w:rFonts w:hint="eastAsia" w:ascii="Times New Roman" w:hAnsi="仿宋" w:eastAsia="仿宋"/>
          <w:color w:val="auto"/>
          <w:sz w:val="32"/>
          <w:szCs w:val="32"/>
        </w:rPr>
        <w:t>项目一览表，在一览表中注明合同名称、合作单位、合同金额</w:t>
      </w:r>
      <w:r>
        <w:rPr>
          <w:rFonts w:hint="eastAsia" w:ascii="Times New Roman" w:hAnsi="仿宋" w:eastAsia="仿宋"/>
          <w:color w:val="auto"/>
          <w:sz w:val="32"/>
          <w:szCs w:val="32"/>
          <w:lang w:eastAsia="zh-CN"/>
        </w:rPr>
        <w:t>等</w:t>
      </w:r>
      <w:r>
        <w:rPr>
          <w:rFonts w:hint="eastAsia" w:ascii="Times New Roman" w:hAnsi="仿宋" w:eastAsia="仿宋"/>
          <w:color w:val="auto"/>
          <w:sz w:val="32"/>
          <w:szCs w:val="32"/>
        </w:rPr>
        <w:t>（一览表后附合同</w:t>
      </w:r>
      <w:r>
        <w:rPr>
          <w:rFonts w:hint="eastAsia" w:ascii="Times New Roman" w:hAnsi="仿宋" w:eastAsia="仿宋"/>
          <w:color w:val="auto"/>
          <w:sz w:val="32"/>
          <w:szCs w:val="32"/>
          <w:lang w:eastAsia="zh-CN"/>
        </w:rPr>
        <w:t>扫描件</w:t>
      </w:r>
      <w:r>
        <w:rPr>
          <w:rFonts w:hint="eastAsia" w:ascii="Times New Roman" w:hAnsi="仿宋" w:eastAsia="仿宋"/>
          <w:color w:val="auto"/>
          <w:sz w:val="32"/>
          <w:szCs w:val="32"/>
        </w:rPr>
        <w:t>）；</w:t>
      </w:r>
    </w:p>
    <w:p w14:paraId="4E6BCF3A">
      <w:pPr>
        <w:keepNext w:val="0"/>
        <w:keepLines w:val="0"/>
        <w:pageBreakBefore w:val="0"/>
        <w:widowControl w:val="0"/>
        <w:kinsoku/>
        <w:wordWrap/>
        <w:overflowPunct/>
        <w:topLinePunct w:val="0"/>
        <w:autoSpaceDE/>
        <w:autoSpaceDN/>
        <w:bidi w:val="0"/>
        <w:adjustRightInd/>
        <w:snapToGrid/>
        <w:spacing w:line="528" w:lineRule="exact"/>
        <w:ind w:firstLine="640" w:firstLineChars="200"/>
        <w:textAlignment w:val="auto"/>
        <w:outlineLvl w:val="9"/>
        <w:rPr>
          <w:rFonts w:hint="eastAsia" w:ascii="Times New Roman" w:hAnsi="Times New Roman" w:eastAsia="仿宋"/>
          <w:color w:val="auto"/>
          <w:sz w:val="32"/>
          <w:szCs w:val="32"/>
          <w:lang w:eastAsia="zh-CN"/>
        </w:rPr>
      </w:pPr>
      <w:r>
        <w:rPr>
          <w:rFonts w:hint="eastAsia" w:ascii="Times New Roman" w:hAnsi="仿宋" w:eastAsia="仿宋"/>
          <w:color w:val="auto"/>
          <w:sz w:val="32"/>
          <w:szCs w:val="32"/>
          <w:lang w:eastAsia="zh-CN"/>
        </w:rPr>
        <w:t>第五章、</w:t>
      </w:r>
      <w:r>
        <w:rPr>
          <w:rFonts w:hint="eastAsia" w:ascii="Times New Roman" w:hAnsi="仿宋" w:eastAsia="仿宋"/>
          <w:color w:val="auto"/>
          <w:sz w:val="32"/>
          <w:szCs w:val="32"/>
          <w:lang w:val="en-US" w:eastAsia="zh-CN"/>
        </w:rPr>
        <w:t>维保服务方案，内容包括</w:t>
      </w:r>
      <w:r>
        <w:rPr>
          <w:rFonts w:ascii="Times New Roman" w:hAnsi="Times New Roman" w:eastAsia="仿宋"/>
          <w:color w:val="auto"/>
          <w:sz w:val="32"/>
          <w:szCs w:val="32"/>
          <w:highlight w:val="none"/>
        </w:rPr>
        <w:t>拟投入</w:t>
      </w:r>
      <w:r>
        <w:rPr>
          <w:rFonts w:hint="eastAsia" w:ascii="Times New Roman" w:hAnsi="Times New Roman" w:eastAsia="仿宋"/>
          <w:color w:val="auto"/>
          <w:sz w:val="32"/>
          <w:szCs w:val="32"/>
          <w:highlight w:val="none"/>
          <w:lang w:val="en-US" w:eastAsia="zh-CN"/>
        </w:rPr>
        <w:t>人员计划，维保服务质量承诺书等（拟投入人员需</w:t>
      </w:r>
      <w:r>
        <w:rPr>
          <w:rFonts w:hint="eastAsia" w:ascii="Times New Roman" w:hAnsi="Times New Roman" w:eastAsia="仿宋"/>
          <w:color w:val="auto"/>
          <w:sz w:val="32"/>
          <w:szCs w:val="32"/>
          <w:lang w:eastAsia="zh-CN"/>
        </w:rPr>
        <w:t>附人员简介及</w:t>
      </w:r>
      <w:r>
        <w:rPr>
          <w:rFonts w:hint="eastAsia" w:ascii="Times New Roman" w:hAnsi="Times New Roman" w:eastAsia="仿宋"/>
          <w:color w:val="auto"/>
          <w:sz w:val="32"/>
          <w:szCs w:val="32"/>
          <w:lang w:val="en-US" w:eastAsia="zh-CN"/>
        </w:rPr>
        <w:t>人员</w:t>
      </w:r>
      <w:r>
        <w:rPr>
          <w:rFonts w:hint="eastAsia" w:ascii="Times New Roman" w:hAnsi="Times New Roman" w:eastAsia="仿宋"/>
          <w:color w:val="auto"/>
          <w:sz w:val="32"/>
          <w:szCs w:val="32"/>
          <w:lang w:eastAsia="zh-CN"/>
        </w:rPr>
        <w:t>近三个月（</w:t>
      </w:r>
      <w:r>
        <w:rPr>
          <w:rFonts w:hint="eastAsia" w:ascii="Times New Roman" w:hAnsi="Times New Roman" w:eastAsia="仿宋"/>
          <w:color w:val="auto"/>
          <w:sz w:val="32"/>
          <w:szCs w:val="32"/>
          <w:lang w:val="en-US" w:eastAsia="zh-CN"/>
        </w:rPr>
        <w:t>2025年4月—6月</w:t>
      </w:r>
      <w:r>
        <w:rPr>
          <w:rFonts w:hint="eastAsia" w:ascii="Times New Roman" w:hAnsi="Times New Roman" w:eastAsia="仿宋"/>
          <w:color w:val="auto"/>
          <w:sz w:val="32"/>
          <w:szCs w:val="32"/>
          <w:lang w:eastAsia="zh-CN"/>
        </w:rPr>
        <w:t>）社保缴纳证明，</w:t>
      </w:r>
      <w:r>
        <w:rPr>
          <w:rFonts w:hint="eastAsia" w:ascii="Times New Roman" w:hAnsi="Times New Roman" w:eastAsia="仿宋"/>
          <w:color w:val="auto"/>
          <w:sz w:val="32"/>
          <w:szCs w:val="32"/>
          <w:lang w:val="en-US" w:eastAsia="zh-CN"/>
        </w:rPr>
        <w:t>维保服务质量承诺不得低于报价单位要求第（四）点“服务质量要求</w:t>
      </w:r>
      <w:r>
        <w:rPr>
          <w:rFonts w:hint="eastAsia" w:ascii="Times New Roman" w:hAnsi="Times New Roman" w:eastAsia="仿宋"/>
          <w:color w:val="auto"/>
          <w:sz w:val="32"/>
          <w:szCs w:val="32"/>
          <w:highlight w:val="none"/>
          <w:lang w:val="en-US" w:eastAsia="zh-CN"/>
        </w:rPr>
        <w:t>”）。</w:t>
      </w:r>
    </w:p>
    <w:p w14:paraId="13829A36">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ascii="黑体" w:hAnsi="黑体" w:eastAsia="黑体"/>
          <w:color w:val="auto"/>
          <w:sz w:val="32"/>
          <w:szCs w:val="32"/>
        </w:rPr>
      </w:pPr>
      <w:r>
        <w:rPr>
          <w:rFonts w:hint="eastAsia" w:ascii="黑体" w:hAnsi="黑体" w:eastAsia="黑体"/>
          <w:color w:val="auto"/>
          <w:sz w:val="32"/>
          <w:szCs w:val="32"/>
          <w:lang w:eastAsia="zh-CN"/>
        </w:rPr>
        <w:t>四</w:t>
      </w:r>
      <w:r>
        <w:rPr>
          <w:rFonts w:ascii="黑体" w:hAnsi="黑体" w:eastAsia="黑体"/>
          <w:color w:val="auto"/>
          <w:sz w:val="32"/>
          <w:szCs w:val="32"/>
        </w:rPr>
        <w:t>、报价文件报送方式及要求</w:t>
      </w:r>
    </w:p>
    <w:p w14:paraId="78BF719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hAnsi="仿宋" w:eastAsia="仿宋"/>
          <w:color w:val="auto"/>
          <w:sz w:val="32"/>
          <w:szCs w:val="32"/>
        </w:rPr>
      </w:pPr>
      <w:r>
        <w:rPr>
          <w:rFonts w:hint="eastAsia" w:hAnsi="仿宋" w:eastAsia="仿宋"/>
          <w:color w:val="auto"/>
          <w:sz w:val="32"/>
          <w:szCs w:val="32"/>
        </w:rPr>
        <w:t>报价方式为纸质文件报价，具体要求如下：</w:t>
      </w:r>
    </w:p>
    <w:p w14:paraId="0BC44B7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hAnsi="仿宋" w:eastAsia="仿宋"/>
          <w:color w:val="auto"/>
          <w:sz w:val="32"/>
          <w:szCs w:val="32"/>
        </w:rPr>
      </w:pPr>
      <w:r>
        <w:rPr>
          <w:rFonts w:hint="eastAsia" w:hAnsi="仿宋" w:eastAsia="仿宋"/>
          <w:color w:val="auto"/>
          <w:sz w:val="32"/>
          <w:szCs w:val="32"/>
        </w:rPr>
        <w:t>报价文件数量：1正5副（报价文件要求密封于文件袋内）。</w:t>
      </w:r>
    </w:p>
    <w:p w14:paraId="3F368CC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hAnsi="仿宋" w:eastAsia="仿宋"/>
          <w:color w:val="auto"/>
          <w:sz w:val="32"/>
          <w:szCs w:val="32"/>
        </w:rPr>
      </w:pPr>
      <w:r>
        <w:rPr>
          <w:rFonts w:hAnsi="仿宋" w:eastAsia="仿宋"/>
          <w:color w:val="auto"/>
          <w:sz w:val="32"/>
          <w:szCs w:val="32"/>
        </w:rPr>
        <w:t>可选择邮寄或现场递交方式报送（如采用邮寄方式报送，须通过</w:t>
      </w:r>
      <w:r>
        <w:rPr>
          <w:rFonts w:hint="eastAsia" w:hAnsi="仿宋" w:eastAsia="仿宋"/>
          <w:color w:val="auto"/>
          <w:sz w:val="32"/>
          <w:szCs w:val="32"/>
        </w:rPr>
        <w:t>EMS或顺丰速运邮寄，送达时间不得晚于公告截止时间）。邮寄或送达地址：广西钦州市中马钦州产业园区友谊大道88号中马广场5号写字楼19层。</w:t>
      </w:r>
    </w:p>
    <w:p w14:paraId="03C5F03F">
      <w:pPr>
        <w:keepNext w:val="0"/>
        <w:keepLines w:val="0"/>
        <w:pageBreakBefore w:val="0"/>
        <w:widowControl w:val="0"/>
        <w:kinsoku/>
        <w:wordWrap/>
        <w:overflowPunct/>
        <w:topLinePunct w:val="0"/>
        <w:autoSpaceDE/>
        <w:autoSpaceDN/>
        <w:bidi w:val="0"/>
        <w:adjustRightInd/>
        <w:snapToGrid/>
        <w:spacing w:beforeLines="0" w:afterLines="0" w:line="520" w:lineRule="exact"/>
        <w:ind w:firstLine="640" w:firstLineChars="200"/>
        <w:textAlignment w:val="auto"/>
        <w:rPr>
          <w:rFonts w:hint="eastAsia" w:ascii="Times New Roman" w:hAnsi="Times New Roman" w:eastAsia="仿宋" w:cs="Times New Roman"/>
          <w:color w:val="auto"/>
          <w:sz w:val="32"/>
          <w:szCs w:val="32"/>
          <w:lang w:val="en-US" w:eastAsia="zh-CN"/>
        </w:rPr>
      </w:pPr>
      <w:r>
        <w:rPr>
          <w:rFonts w:hint="eastAsia" w:ascii="Times New Roman" w:hAnsi="Times New Roman" w:eastAsia="仿宋" w:cs="Times New Roman"/>
          <w:color w:val="auto"/>
          <w:sz w:val="32"/>
          <w:szCs w:val="32"/>
          <w:lang w:val="en-US" w:eastAsia="zh-CN"/>
        </w:rPr>
        <w:t>联系人电话：吴雪凝，0777-5988992 , 15807707776。</w:t>
      </w:r>
    </w:p>
    <w:p w14:paraId="433036B1">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w:hAnsi="Times New Roman" w:eastAsia="黑体"/>
          <w:color w:val="auto"/>
          <w:sz w:val="32"/>
          <w:szCs w:val="32"/>
          <w:lang w:eastAsia="zh-CN"/>
        </w:rPr>
      </w:pPr>
      <w:r>
        <w:rPr>
          <w:rFonts w:hint="default" w:ascii="Times New Roman" w:hAnsi="Times New Roman" w:eastAsia="仿宋" w:cs="Times New Roman"/>
          <w:color w:val="auto"/>
          <w:sz w:val="32"/>
          <w:szCs w:val="32"/>
        </w:rPr>
        <w:t>报价文件我公司一律不予退回。</w:t>
      </w:r>
    </w:p>
    <w:p w14:paraId="73E40AB2">
      <w:pPr>
        <w:keepNext w:val="0"/>
        <w:keepLines w:val="0"/>
        <w:pageBreakBefore w:val="0"/>
        <w:widowControl w:val="0"/>
        <w:kinsoku/>
        <w:wordWrap/>
        <w:overflowPunct/>
        <w:topLinePunct w:val="0"/>
        <w:autoSpaceDE/>
        <w:autoSpaceDN/>
        <w:bidi w:val="0"/>
        <w:adjustRightInd/>
        <w:snapToGrid/>
        <w:spacing w:beforeLines="0" w:afterLines="0" w:line="528" w:lineRule="exact"/>
        <w:ind w:firstLine="640" w:firstLineChars="200"/>
        <w:textAlignment w:val="auto"/>
        <w:rPr>
          <w:rFonts w:ascii="黑体" w:hAnsi="黑体" w:eastAsia="黑体"/>
          <w:color w:val="auto"/>
          <w:sz w:val="32"/>
          <w:szCs w:val="32"/>
        </w:rPr>
      </w:pPr>
      <w:r>
        <w:rPr>
          <w:rFonts w:ascii="Times New Roman" w:hAnsi="Times New Roman" w:eastAsia="黑体"/>
          <w:color w:val="auto"/>
          <w:sz w:val="32"/>
          <w:szCs w:val="32"/>
        </w:rPr>
        <w:t> </w:t>
      </w:r>
      <w:r>
        <w:rPr>
          <w:rFonts w:hint="eastAsia" w:ascii="黑体" w:hAnsi="黑体" w:eastAsia="黑体"/>
          <w:color w:val="auto"/>
          <w:sz w:val="32"/>
          <w:szCs w:val="32"/>
          <w:lang w:eastAsia="zh-CN"/>
        </w:rPr>
        <w:t>五</w:t>
      </w:r>
      <w:r>
        <w:rPr>
          <w:rFonts w:ascii="黑体" w:hAnsi="黑体" w:eastAsia="黑体"/>
          <w:color w:val="auto"/>
          <w:sz w:val="32"/>
          <w:szCs w:val="32"/>
        </w:rPr>
        <w:t>、评审规则</w:t>
      </w:r>
    </w:p>
    <w:p w14:paraId="75738122">
      <w:pPr>
        <w:keepNext w:val="0"/>
        <w:keepLines w:val="0"/>
        <w:pageBreakBefore w:val="0"/>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（一）我公司将结合报价单位的资质条件、业绩及报价等因素，综合择优选定本项目的中选单位。</w:t>
      </w:r>
    </w:p>
    <w:p w14:paraId="6B09DC06">
      <w:pPr>
        <w:keepNext w:val="0"/>
        <w:keepLines w:val="0"/>
        <w:pageBreakBefore w:val="0"/>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（二）如出现下列情况之一，报价文件作无效处理</w:t>
      </w:r>
    </w:p>
    <w:p w14:paraId="7E008D66">
      <w:pPr>
        <w:keepNext w:val="0"/>
        <w:keepLines w:val="0"/>
        <w:pageBreakBefore w:val="0"/>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1.不响应比选文件实质性要求；</w:t>
      </w:r>
    </w:p>
    <w:p w14:paraId="25DBE188">
      <w:pPr>
        <w:keepNext w:val="0"/>
        <w:keepLines w:val="0"/>
        <w:pageBreakBefore w:val="0"/>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2.出现两个或两个以上报价；</w:t>
      </w:r>
    </w:p>
    <w:p w14:paraId="2DB60FD6">
      <w:pPr>
        <w:keepNext w:val="0"/>
        <w:keepLines w:val="0"/>
        <w:pageBreakBefore w:val="0"/>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3.报价超出预算控制价的；</w:t>
      </w:r>
    </w:p>
    <w:p w14:paraId="26D9B5DC">
      <w:pPr>
        <w:keepNext w:val="0"/>
        <w:keepLines w:val="0"/>
        <w:pageBreakBefore w:val="0"/>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4.报价低于控制价80%的；</w:t>
      </w:r>
    </w:p>
    <w:p w14:paraId="64CF0308">
      <w:pPr>
        <w:keepNext w:val="0"/>
        <w:keepLines w:val="0"/>
        <w:pageBreakBefore w:val="0"/>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5.报价文件报送时间已超过规定截止时间；</w:t>
      </w:r>
    </w:p>
    <w:p w14:paraId="37C9E508">
      <w:pPr>
        <w:keepNext w:val="0"/>
        <w:keepLines w:val="0"/>
        <w:pageBreakBefore w:val="0"/>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6.纸质版报价文件未按要求密封；</w:t>
      </w:r>
    </w:p>
    <w:p w14:paraId="4DCAB812">
      <w:pPr>
        <w:keepNext w:val="0"/>
        <w:keepLines w:val="0"/>
        <w:pageBreakBefore w:val="0"/>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7.报价文件资料未加盖公司公章；</w:t>
      </w:r>
    </w:p>
    <w:p w14:paraId="7DB65461">
      <w:pPr>
        <w:keepNext w:val="0"/>
        <w:keepLines w:val="0"/>
        <w:pageBreakBefore w:val="0"/>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8.超出经营范围报价的；</w:t>
      </w:r>
    </w:p>
    <w:p w14:paraId="544CCA9B">
      <w:pPr>
        <w:keepNext w:val="0"/>
        <w:keepLines w:val="0"/>
        <w:pageBreakBefore w:val="0"/>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9.存在其他不符合比选文件要求的行为。</w:t>
      </w:r>
    </w:p>
    <w:p w14:paraId="3B9CACFB">
      <w:pPr>
        <w:keepNext w:val="0"/>
        <w:keepLines w:val="0"/>
        <w:pageBreakBefore w:val="0"/>
        <w:widowControl/>
        <w:kinsoku/>
        <w:wordWrap/>
        <w:overflowPunct/>
        <w:topLinePunct w:val="0"/>
        <w:autoSpaceDE/>
        <w:autoSpaceDN/>
        <w:bidi w:val="0"/>
        <w:adjustRightInd/>
        <w:snapToGrid/>
        <w:spacing w:line="528" w:lineRule="exact"/>
        <w:ind w:firstLine="640" w:firstLineChars="200"/>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三</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如出现下列情况之一，报价文件作无效处理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同时列入我公司黑名单。</w:t>
      </w:r>
    </w:p>
    <w:p w14:paraId="5287DE73">
      <w:pPr>
        <w:keepNext w:val="0"/>
        <w:keepLines w:val="0"/>
        <w:pageBreakBefore w:val="0"/>
        <w:widowControl/>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1.不同报价人的报价文件由同一单位或者个人编制；</w:t>
      </w:r>
    </w:p>
    <w:p w14:paraId="33E0F217">
      <w:pPr>
        <w:keepNext w:val="0"/>
        <w:keepLines w:val="0"/>
        <w:pageBreakBefore w:val="0"/>
        <w:widowControl/>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2.不同报价人委托同一单位或者个人办理报价相关事宜；</w:t>
      </w:r>
    </w:p>
    <w:p w14:paraId="132E94AE">
      <w:pPr>
        <w:keepNext w:val="0"/>
        <w:keepLines w:val="0"/>
        <w:pageBreakBefore w:val="0"/>
        <w:widowControl/>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不同报价人的报价文件异常一致或者报价呈规律性差异（报价文件异常一致是指极小概率或者完全不可能一致的内容在不同报价文件中出现，比如大面积内容完全雷同、内容错误或打印错误雷同、三处以上内容表述及版面格式完全一致等，需足够的证据证明）；</w:t>
      </w:r>
    </w:p>
    <w:p w14:paraId="6F17F629">
      <w:pPr>
        <w:keepNext w:val="0"/>
        <w:keepLines w:val="0"/>
        <w:pageBreakBefore w:val="0"/>
        <w:widowControl/>
        <w:kinsoku/>
        <w:wordWrap/>
        <w:overflowPunct/>
        <w:topLinePunct w:val="0"/>
        <w:autoSpaceDE/>
        <w:autoSpaceDN/>
        <w:bidi w:val="0"/>
        <w:adjustRightInd/>
        <w:snapToGrid/>
        <w:spacing w:line="528"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4.不同报价人的报价文件相互混装；</w:t>
      </w:r>
    </w:p>
    <w:p w14:paraId="677263F5">
      <w:pPr>
        <w:keepNext w:val="0"/>
        <w:keepLines w:val="0"/>
        <w:pageBreakBefore w:val="0"/>
        <w:widowControl/>
        <w:kinsoku/>
        <w:wordWrap/>
        <w:overflowPunct/>
        <w:topLinePunct w:val="0"/>
        <w:autoSpaceDE/>
        <w:autoSpaceDN/>
        <w:bidi w:val="0"/>
        <w:adjustRightInd/>
        <w:snapToGrid/>
        <w:spacing w:line="528" w:lineRule="exact"/>
        <w:ind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5.存在其他违反采购公认原则及规定的行为。</w:t>
      </w:r>
    </w:p>
    <w:p w14:paraId="054E30B7">
      <w:pPr>
        <w:keepNext w:val="0"/>
        <w:keepLines w:val="0"/>
        <w:pageBreakBefore w:val="0"/>
        <w:widowControl w:val="0"/>
        <w:kinsoku/>
        <w:wordWrap/>
        <w:overflowPunct/>
        <w:topLinePunct w:val="0"/>
        <w:autoSpaceDE/>
        <w:autoSpaceDN/>
        <w:bidi w:val="0"/>
        <w:adjustRightInd/>
        <w:snapToGrid/>
        <w:spacing w:beforeLines="0" w:afterLines="0" w:line="528" w:lineRule="exact"/>
        <w:textAlignment w:val="auto"/>
        <w:rPr>
          <w:rFonts w:eastAsia="仿宋"/>
          <w:color w:val="auto"/>
          <w:sz w:val="32"/>
          <w:szCs w:val="32"/>
        </w:rPr>
      </w:pPr>
      <w:r>
        <w:rPr>
          <w:rFonts w:hint="eastAsia" w:eastAsia="黑体"/>
          <w:color w:val="auto"/>
          <w:sz w:val="32"/>
          <w:szCs w:val="32"/>
        </w:rPr>
        <w:t xml:space="preserve">    </w:t>
      </w:r>
      <w:r>
        <w:rPr>
          <w:rFonts w:hint="eastAsia" w:eastAsia="黑体"/>
          <w:color w:val="auto"/>
          <w:sz w:val="32"/>
          <w:szCs w:val="32"/>
          <w:lang w:eastAsia="zh-CN"/>
        </w:rPr>
        <w:t>六</w:t>
      </w:r>
      <w:r>
        <w:rPr>
          <w:rFonts w:ascii="Times New Roman" w:hAnsi="Times New Roman" w:eastAsia="黑体"/>
          <w:color w:val="auto"/>
          <w:sz w:val="32"/>
          <w:szCs w:val="32"/>
        </w:rPr>
        <w:t>、评分办法</w:t>
      </w:r>
    </w:p>
    <w:p w14:paraId="3E795B20">
      <w:pPr>
        <w:keepNext w:val="0"/>
        <w:keepLines w:val="0"/>
        <w:pageBreakBefore w:val="0"/>
        <w:widowControl w:val="0"/>
        <w:kinsoku/>
        <w:wordWrap/>
        <w:overflowPunct/>
        <w:topLinePunct w:val="0"/>
        <w:autoSpaceDE/>
        <w:autoSpaceDN/>
        <w:bidi w:val="0"/>
        <w:adjustRightInd/>
        <w:snapToGrid/>
        <w:spacing w:beforeLines="0" w:afterLines="0" w:line="528" w:lineRule="exact"/>
        <w:ind w:firstLine="640" w:firstLineChars="200"/>
        <w:textAlignment w:val="auto"/>
        <w:rPr>
          <w:rFonts w:eastAsia="仿宋"/>
          <w:color w:val="auto"/>
          <w:sz w:val="32"/>
          <w:szCs w:val="32"/>
        </w:rPr>
      </w:pPr>
      <w:r>
        <w:rPr>
          <w:rFonts w:ascii="Times New Roman" w:hAnsi="Times New Roman" w:eastAsia="仿宋"/>
          <w:color w:val="auto"/>
          <w:sz w:val="32"/>
          <w:szCs w:val="32"/>
        </w:rPr>
        <w:t>本项目评审办法采用综合评分法，评委首先对</w:t>
      </w:r>
      <w:r>
        <w:rPr>
          <w:rFonts w:hint="eastAsia" w:eastAsia="仿宋"/>
          <w:color w:val="auto"/>
          <w:sz w:val="32"/>
          <w:szCs w:val="32"/>
        </w:rPr>
        <w:t>报价</w:t>
      </w:r>
      <w:r>
        <w:rPr>
          <w:rFonts w:ascii="Times New Roman" w:hAnsi="Times New Roman" w:eastAsia="仿宋"/>
          <w:color w:val="auto"/>
          <w:sz w:val="32"/>
          <w:szCs w:val="32"/>
        </w:rPr>
        <w:t>单位进行资格审查，然后对通过资格审查的</w:t>
      </w:r>
      <w:r>
        <w:rPr>
          <w:rFonts w:hint="eastAsia" w:eastAsia="仿宋"/>
          <w:color w:val="auto"/>
          <w:sz w:val="32"/>
          <w:szCs w:val="32"/>
        </w:rPr>
        <w:t>报价</w:t>
      </w:r>
      <w:r>
        <w:rPr>
          <w:rFonts w:ascii="Times New Roman" w:hAnsi="Times New Roman" w:eastAsia="仿宋"/>
          <w:color w:val="auto"/>
          <w:sz w:val="32"/>
          <w:szCs w:val="32"/>
        </w:rPr>
        <w:t>单位的报价、</w:t>
      </w:r>
      <w:r>
        <w:rPr>
          <w:rFonts w:hint="eastAsia" w:ascii="Times New Roman" w:hAnsi="Times New Roman" w:eastAsia="仿宋"/>
          <w:color w:val="auto"/>
          <w:sz w:val="32"/>
          <w:szCs w:val="32"/>
        </w:rPr>
        <w:t>业绩</w:t>
      </w:r>
      <w:r>
        <w:rPr>
          <w:rFonts w:ascii="Times New Roman" w:hAnsi="Times New Roman" w:eastAsia="仿宋"/>
          <w:color w:val="auto"/>
          <w:sz w:val="32"/>
          <w:szCs w:val="32"/>
        </w:rPr>
        <w:t>等方面按</w:t>
      </w:r>
      <w:r>
        <w:rPr>
          <w:rFonts w:hint="eastAsia" w:ascii="Times New Roman" w:hAnsi="Times New Roman" w:eastAsia="仿宋"/>
          <w:b/>
          <w:bCs/>
          <w:color w:val="auto"/>
          <w:sz w:val="32"/>
          <w:szCs w:val="32"/>
          <w:lang w:eastAsia="zh-CN"/>
        </w:rPr>
        <w:t>十</w:t>
      </w:r>
      <w:r>
        <w:rPr>
          <w:rFonts w:ascii="Times New Roman" w:hAnsi="Times New Roman" w:eastAsia="仿宋"/>
          <w:b/>
          <w:bCs/>
          <w:color w:val="auto"/>
          <w:sz w:val="32"/>
          <w:szCs w:val="32"/>
        </w:rPr>
        <w:t>分制</w:t>
      </w:r>
      <w:r>
        <w:rPr>
          <w:rFonts w:ascii="Times New Roman" w:hAnsi="Times New Roman" w:eastAsia="仿宋"/>
          <w:color w:val="auto"/>
          <w:sz w:val="32"/>
          <w:szCs w:val="32"/>
        </w:rPr>
        <w:t>进行评分。</w:t>
      </w:r>
    </w:p>
    <w:p w14:paraId="3A1C8BDF">
      <w:pPr>
        <w:keepNext w:val="0"/>
        <w:keepLines w:val="0"/>
        <w:pageBreakBefore w:val="0"/>
        <w:widowControl w:val="0"/>
        <w:numPr>
          <w:ilvl w:val="0"/>
          <w:numId w:val="0"/>
        </w:numPr>
        <w:kinsoku/>
        <w:wordWrap/>
        <w:overflowPunct/>
        <w:topLinePunct w:val="0"/>
        <w:autoSpaceDE/>
        <w:autoSpaceDN/>
        <w:bidi w:val="0"/>
        <w:adjustRightInd/>
        <w:snapToGrid/>
        <w:spacing w:line="528" w:lineRule="exact"/>
        <w:ind w:firstLine="640" w:firstLineChars="200"/>
        <w:textAlignment w:val="auto"/>
        <w:rPr>
          <w:rFonts w:ascii="Times New Roman" w:hAnsi="仿宋" w:eastAsia="仿宋"/>
          <w:color w:val="auto"/>
          <w:sz w:val="32"/>
          <w:szCs w:val="32"/>
        </w:rPr>
      </w:pPr>
      <w:r>
        <w:rPr>
          <w:rFonts w:hint="eastAsia" w:ascii="Times New Roman" w:hAnsi="仿宋" w:eastAsia="仿宋"/>
          <w:color w:val="auto"/>
          <w:sz w:val="32"/>
          <w:szCs w:val="32"/>
          <w:lang w:eastAsia="zh-CN"/>
        </w:rPr>
        <w:t>（</w:t>
      </w:r>
      <w:r>
        <w:rPr>
          <w:rFonts w:hint="eastAsia" w:ascii="Times New Roman" w:hAnsi="仿宋" w:eastAsia="仿宋"/>
          <w:color w:val="auto"/>
          <w:sz w:val="32"/>
          <w:szCs w:val="32"/>
          <w:lang w:val="en-US" w:eastAsia="zh-CN"/>
        </w:rPr>
        <w:t>一</w:t>
      </w:r>
      <w:r>
        <w:rPr>
          <w:rFonts w:hint="eastAsia" w:ascii="Times New Roman" w:hAnsi="仿宋" w:eastAsia="仿宋"/>
          <w:color w:val="auto"/>
          <w:sz w:val="32"/>
          <w:szCs w:val="32"/>
          <w:lang w:eastAsia="zh-CN"/>
        </w:rPr>
        <w:t>）</w:t>
      </w:r>
      <w:r>
        <w:rPr>
          <w:rFonts w:hint="eastAsia" w:ascii="Times New Roman" w:hAnsi="仿宋" w:eastAsia="仿宋"/>
          <w:color w:val="auto"/>
          <w:sz w:val="32"/>
          <w:szCs w:val="32"/>
        </w:rPr>
        <w:t>商务文件（权重</w:t>
      </w:r>
      <w:r>
        <w:rPr>
          <w:rFonts w:hint="eastAsia" w:ascii="Times New Roman" w:hAnsi="仿宋" w:eastAsia="仿宋"/>
          <w:color w:val="auto"/>
          <w:sz w:val="32"/>
          <w:szCs w:val="32"/>
          <w:lang w:val="en-US" w:eastAsia="zh-CN"/>
        </w:rPr>
        <w:t>6</w:t>
      </w:r>
      <w:r>
        <w:rPr>
          <w:rFonts w:hint="eastAsia" w:ascii="Times New Roman" w:hAnsi="仿宋" w:eastAsia="仿宋"/>
          <w:color w:val="auto"/>
          <w:sz w:val="32"/>
          <w:szCs w:val="32"/>
        </w:rPr>
        <w:t>0%，满分</w:t>
      </w:r>
      <w:r>
        <w:rPr>
          <w:rFonts w:hint="eastAsia" w:ascii="Times New Roman" w:hAnsi="仿宋" w:eastAsia="仿宋"/>
          <w:color w:val="auto"/>
          <w:sz w:val="32"/>
          <w:szCs w:val="32"/>
          <w:lang w:val="en-US" w:eastAsia="zh-CN"/>
        </w:rPr>
        <w:t>6</w:t>
      </w:r>
      <w:r>
        <w:rPr>
          <w:rFonts w:hint="eastAsia" w:ascii="Times New Roman" w:hAnsi="仿宋" w:eastAsia="仿宋"/>
          <w:color w:val="auto"/>
          <w:sz w:val="32"/>
          <w:szCs w:val="32"/>
        </w:rPr>
        <w:t>分）</w:t>
      </w:r>
    </w:p>
    <w:p w14:paraId="376B575D">
      <w:pPr>
        <w:keepNext w:val="0"/>
        <w:keepLines w:val="0"/>
        <w:pageBreakBefore w:val="0"/>
        <w:widowControl w:val="0"/>
        <w:kinsoku/>
        <w:wordWrap/>
        <w:overflowPunct/>
        <w:topLinePunct w:val="0"/>
        <w:autoSpaceDE/>
        <w:autoSpaceDN/>
        <w:bidi w:val="0"/>
        <w:adjustRightInd/>
        <w:snapToGrid/>
        <w:spacing w:line="528" w:lineRule="exact"/>
        <w:ind w:firstLine="640" w:firstLineChars="200"/>
        <w:textAlignment w:val="auto"/>
        <w:rPr>
          <w:rFonts w:ascii="Times New Roman" w:hAnsi="仿宋" w:eastAsia="仿宋"/>
          <w:color w:val="auto"/>
          <w:sz w:val="32"/>
          <w:szCs w:val="32"/>
        </w:rPr>
      </w:pPr>
      <w:r>
        <w:rPr>
          <w:rFonts w:hint="eastAsia" w:ascii="Times New Roman" w:hAnsi="仿宋" w:eastAsia="仿宋"/>
          <w:color w:val="auto"/>
          <w:sz w:val="32"/>
          <w:szCs w:val="32"/>
        </w:rPr>
        <w:t>根据价格的高低进行横向对比评审，</w:t>
      </w:r>
      <w:r>
        <w:rPr>
          <w:rFonts w:ascii="Times New Roman" w:hAnsi="仿宋" w:eastAsia="仿宋"/>
          <w:color w:val="auto"/>
          <w:sz w:val="32"/>
          <w:szCs w:val="32"/>
        </w:rPr>
        <w:t>报价超出预算控制价</w:t>
      </w:r>
      <w:r>
        <w:rPr>
          <w:rFonts w:hint="eastAsia" w:ascii="Times New Roman" w:hAnsi="仿宋" w:eastAsia="仿宋"/>
          <w:color w:val="auto"/>
          <w:sz w:val="32"/>
          <w:szCs w:val="32"/>
          <w:lang w:eastAsia="zh-CN"/>
        </w:rPr>
        <w:t>或</w:t>
      </w:r>
      <w:r>
        <w:rPr>
          <w:rFonts w:hint="eastAsia" w:ascii="Times New Roman" w:hAnsi="仿宋" w:eastAsia="仿宋"/>
          <w:color w:val="auto"/>
          <w:sz w:val="32"/>
          <w:szCs w:val="32"/>
        </w:rPr>
        <w:t>低于控制价80%的</w:t>
      </w:r>
      <w:r>
        <w:rPr>
          <w:rFonts w:hint="eastAsia" w:ascii="Times New Roman" w:hAnsi="仿宋" w:eastAsia="仿宋"/>
          <w:color w:val="auto"/>
          <w:sz w:val="32"/>
          <w:szCs w:val="32"/>
          <w:lang w:eastAsia="zh-CN"/>
        </w:rPr>
        <w:t>，均</w:t>
      </w:r>
      <w:r>
        <w:rPr>
          <w:rFonts w:hint="eastAsia" w:ascii="Times New Roman" w:hAnsi="仿宋" w:eastAsia="仿宋"/>
          <w:color w:val="auto"/>
          <w:sz w:val="32"/>
          <w:szCs w:val="32"/>
        </w:rPr>
        <w:t>作无效处理，评审按以下五个档进行：</w:t>
      </w:r>
    </w:p>
    <w:p w14:paraId="779F1562">
      <w:pPr>
        <w:keepNext w:val="0"/>
        <w:keepLines w:val="0"/>
        <w:pageBreakBefore w:val="0"/>
        <w:widowControl w:val="0"/>
        <w:kinsoku/>
        <w:wordWrap/>
        <w:overflowPunct/>
        <w:topLinePunct w:val="0"/>
        <w:autoSpaceDE/>
        <w:autoSpaceDN/>
        <w:bidi w:val="0"/>
        <w:adjustRightInd/>
        <w:snapToGrid/>
        <w:spacing w:line="528" w:lineRule="exact"/>
        <w:ind w:firstLine="640" w:firstLineChars="200"/>
        <w:textAlignment w:val="auto"/>
        <w:rPr>
          <w:rFonts w:ascii="Times New Roman" w:hAnsi="Times New Roman" w:eastAsia="仿宋"/>
          <w:color w:val="auto"/>
          <w:sz w:val="32"/>
          <w:szCs w:val="32"/>
        </w:rPr>
      </w:pPr>
      <w:r>
        <w:rPr>
          <w:rFonts w:hint="eastAsia" w:ascii="Times New Roman" w:hAnsi="Times New Roman" w:eastAsia="仿宋"/>
          <w:color w:val="auto"/>
          <w:sz w:val="32"/>
          <w:szCs w:val="32"/>
        </w:rPr>
        <w:t>1为不合格（得分为1/5*</w:t>
      </w:r>
      <w:r>
        <w:rPr>
          <w:rFonts w:hint="eastAsia" w:ascii="Times New Roman" w:hAnsi="Times New Roman" w:eastAsia="仿宋"/>
          <w:color w:val="auto"/>
          <w:sz w:val="32"/>
          <w:szCs w:val="32"/>
          <w:lang w:val="en-US" w:eastAsia="zh-CN"/>
        </w:rPr>
        <w:t>6）</w:t>
      </w:r>
      <w:r>
        <w:rPr>
          <w:rFonts w:hint="eastAsia" w:ascii="Times New Roman" w:hAnsi="Times New Roman" w:eastAsia="仿宋"/>
          <w:color w:val="auto"/>
          <w:sz w:val="32"/>
          <w:szCs w:val="32"/>
        </w:rPr>
        <w:t>；</w:t>
      </w:r>
    </w:p>
    <w:p w14:paraId="62CDA50B">
      <w:pPr>
        <w:keepNext w:val="0"/>
        <w:keepLines w:val="0"/>
        <w:pageBreakBefore w:val="0"/>
        <w:widowControl w:val="0"/>
        <w:kinsoku/>
        <w:wordWrap/>
        <w:overflowPunct/>
        <w:topLinePunct w:val="0"/>
        <w:autoSpaceDE/>
        <w:autoSpaceDN/>
        <w:bidi w:val="0"/>
        <w:adjustRightInd/>
        <w:snapToGrid/>
        <w:spacing w:line="528" w:lineRule="exact"/>
        <w:ind w:firstLine="640" w:firstLineChars="200"/>
        <w:textAlignment w:val="auto"/>
        <w:rPr>
          <w:rFonts w:ascii="Times New Roman" w:hAnsi="Times New Roman" w:eastAsia="仿宋"/>
          <w:color w:val="auto"/>
          <w:sz w:val="32"/>
          <w:szCs w:val="32"/>
        </w:rPr>
      </w:pPr>
      <w:r>
        <w:rPr>
          <w:rFonts w:hint="eastAsia" w:ascii="Times New Roman" w:hAnsi="Times New Roman" w:eastAsia="仿宋"/>
          <w:color w:val="auto"/>
          <w:sz w:val="32"/>
          <w:szCs w:val="32"/>
        </w:rPr>
        <w:t>2为</w:t>
      </w:r>
      <w:r>
        <w:rPr>
          <w:rFonts w:hint="eastAsia" w:ascii="Times New Roman" w:hAnsi="Times New Roman" w:eastAsia="仿宋"/>
          <w:color w:val="auto"/>
          <w:sz w:val="32"/>
          <w:szCs w:val="32"/>
          <w:lang w:val="en-US" w:eastAsia="zh-CN"/>
        </w:rPr>
        <w:t>合格</w:t>
      </w:r>
      <w:r>
        <w:rPr>
          <w:rFonts w:hint="eastAsia" w:ascii="Times New Roman" w:hAnsi="Times New Roman" w:eastAsia="仿宋"/>
          <w:color w:val="auto"/>
          <w:sz w:val="32"/>
          <w:szCs w:val="32"/>
        </w:rPr>
        <w:t>（得分为2/5*</w:t>
      </w:r>
      <w:r>
        <w:rPr>
          <w:rFonts w:hint="eastAsia" w:ascii="Times New Roman" w:hAnsi="Times New Roman" w:eastAsia="仿宋"/>
          <w:color w:val="auto"/>
          <w:sz w:val="32"/>
          <w:szCs w:val="32"/>
          <w:lang w:val="en-US" w:eastAsia="zh-CN"/>
        </w:rPr>
        <w:t>6</w:t>
      </w:r>
      <w:r>
        <w:rPr>
          <w:rFonts w:hint="eastAsia" w:ascii="Times New Roman" w:hAnsi="Times New Roman" w:eastAsia="仿宋"/>
          <w:color w:val="auto"/>
          <w:sz w:val="32"/>
          <w:szCs w:val="32"/>
        </w:rPr>
        <w:t>）；</w:t>
      </w:r>
    </w:p>
    <w:p w14:paraId="37D82D26">
      <w:pPr>
        <w:keepNext w:val="0"/>
        <w:keepLines w:val="0"/>
        <w:pageBreakBefore w:val="0"/>
        <w:widowControl w:val="0"/>
        <w:kinsoku/>
        <w:wordWrap/>
        <w:overflowPunct/>
        <w:topLinePunct w:val="0"/>
        <w:autoSpaceDE/>
        <w:autoSpaceDN/>
        <w:bidi w:val="0"/>
        <w:adjustRightInd/>
        <w:snapToGrid/>
        <w:spacing w:line="528" w:lineRule="exact"/>
        <w:ind w:firstLine="640" w:firstLineChars="200"/>
        <w:textAlignment w:val="auto"/>
        <w:rPr>
          <w:rFonts w:ascii="Times New Roman" w:hAnsi="Times New Roman" w:eastAsia="仿宋"/>
          <w:color w:val="auto"/>
          <w:sz w:val="32"/>
          <w:szCs w:val="32"/>
        </w:rPr>
      </w:pPr>
      <w:r>
        <w:rPr>
          <w:rFonts w:hint="eastAsia" w:ascii="Times New Roman" w:hAnsi="Times New Roman" w:eastAsia="仿宋"/>
          <w:color w:val="auto"/>
          <w:sz w:val="32"/>
          <w:szCs w:val="32"/>
        </w:rPr>
        <w:t>3为</w:t>
      </w:r>
      <w:r>
        <w:rPr>
          <w:rFonts w:hint="eastAsia" w:ascii="Times New Roman" w:hAnsi="Times New Roman" w:eastAsia="仿宋"/>
          <w:color w:val="auto"/>
          <w:sz w:val="32"/>
          <w:szCs w:val="32"/>
          <w:lang w:val="en-US" w:eastAsia="zh-CN"/>
        </w:rPr>
        <w:t>一般</w:t>
      </w:r>
      <w:r>
        <w:rPr>
          <w:rFonts w:hint="eastAsia" w:ascii="Times New Roman" w:hAnsi="Times New Roman" w:eastAsia="仿宋"/>
          <w:color w:val="auto"/>
          <w:sz w:val="32"/>
          <w:szCs w:val="32"/>
        </w:rPr>
        <w:t>（得分为3/5*</w:t>
      </w:r>
      <w:r>
        <w:rPr>
          <w:rFonts w:hint="eastAsia" w:ascii="Times New Roman" w:hAnsi="Times New Roman" w:eastAsia="仿宋"/>
          <w:color w:val="auto"/>
          <w:sz w:val="32"/>
          <w:szCs w:val="32"/>
          <w:lang w:val="en-US" w:eastAsia="zh-CN"/>
        </w:rPr>
        <w:t>6</w:t>
      </w:r>
      <w:r>
        <w:rPr>
          <w:rFonts w:hint="eastAsia" w:ascii="Times New Roman" w:hAnsi="Times New Roman" w:eastAsia="仿宋"/>
          <w:color w:val="auto"/>
          <w:sz w:val="32"/>
          <w:szCs w:val="32"/>
        </w:rPr>
        <w:t>）；</w:t>
      </w:r>
    </w:p>
    <w:p w14:paraId="6DE7617D">
      <w:pPr>
        <w:keepNext w:val="0"/>
        <w:keepLines w:val="0"/>
        <w:pageBreakBefore w:val="0"/>
        <w:widowControl w:val="0"/>
        <w:kinsoku/>
        <w:wordWrap/>
        <w:overflowPunct/>
        <w:topLinePunct w:val="0"/>
        <w:autoSpaceDE/>
        <w:autoSpaceDN/>
        <w:bidi w:val="0"/>
        <w:adjustRightInd/>
        <w:snapToGrid/>
        <w:spacing w:line="528" w:lineRule="exact"/>
        <w:ind w:firstLine="640" w:firstLineChars="200"/>
        <w:textAlignment w:val="auto"/>
        <w:rPr>
          <w:rFonts w:ascii="Times New Roman" w:hAnsi="Times New Roman" w:eastAsia="仿宋"/>
          <w:color w:val="auto"/>
          <w:sz w:val="32"/>
          <w:szCs w:val="32"/>
        </w:rPr>
      </w:pPr>
      <w:r>
        <w:rPr>
          <w:rFonts w:hint="eastAsia" w:ascii="Times New Roman" w:hAnsi="Times New Roman" w:eastAsia="仿宋"/>
          <w:color w:val="auto"/>
          <w:sz w:val="32"/>
          <w:szCs w:val="32"/>
        </w:rPr>
        <w:t>4为良好（得分为4/5*</w:t>
      </w:r>
      <w:r>
        <w:rPr>
          <w:rFonts w:hint="eastAsia" w:ascii="Times New Roman" w:hAnsi="Times New Roman" w:eastAsia="仿宋"/>
          <w:color w:val="auto"/>
          <w:sz w:val="32"/>
          <w:szCs w:val="32"/>
          <w:lang w:val="en-US" w:eastAsia="zh-CN"/>
        </w:rPr>
        <w:t>6</w:t>
      </w:r>
      <w:r>
        <w:rPr>
          <w:rFonts w:hint="eastAsia" w:ascii="Times New Roman" w:hAnsi="Times New Roman" w:eastAsia="仿宋"/>
          <w:color w:val="auto"/>
          <w:sz w:val="32"/>
          <w:szCs w:val="32"/>
        </w:rPr>
        <w:t>）；</w:t>
      </w:r>
    </w:p>
    <w:p w14:paraId="2260D0EF">
      <w:pPr>
        <w:keepNext w:val="0"/>
        <w:keepLines w:val="0"/>
        <w:pageBreakBefore w:val="0"/>
        <w:widowControl w:val="0"/>
        <w:kinsoku/>
        <w:wordWrap/>
        <w:overflowPunct/>
        <w:topLinePunct w:val="0"/>
        <w:autoSpaceDE/>
        <w:autoSpaceDN/>
        <w:bidi w:val="0"/>
        <w:adjustRightInd/>
        <w:snapToGrid/>
        <w:spacing w:line="528" w:lineRule="exact"/>
        <w:ind w:firstLine="640" w:firstLineChars="200"/>
        <w:textAlignment w:val="auto"/>
        <w:rPr>
          <w:rFonts w:ascii="Times New Roman" w:hAnsi="仿宋" w:eastAsia="仿宋"/>
          <w:color w:val="auto"/>
          <w:sz w:val="32"/>
          <w:szCs w:val="32"/>
        </w:rPr>
      </w:pPr>
      <w:r>
        <w:rPr>
          <w:rFonts w:hint="eastAsia" w:ascii="Times New Roman" w:hAnsi="Times New Roman" w:eastAsia="仿宋"/>
          <w:color w:val="auto"/>
          <w:sz w:val="32"/>
          <w:szCs w:val="32"/>
        </w:rPr>
        <w:t>5为优秀（得分为5/5*</w:t>
      </w:r>
      <w:r>
        <w:rPr>
          <w:rFonts w:hint="eastAsia" w:ascii="Times New Roman" w:hAnsi="Times New Roman" w:eastAsia="仿宋"/>
          <w:color w:val="auto"/>
          <w:sz w:val="32"/>
          <w:szCs w:val="32"/>
          <w:lang w:val="en-US" w:eastAsia="zh-CN"/>
        </w:rPr>
        <w:t>6</w:t>
      </w:r>
      <w:r>
        <w:rPr>
          <w:rFonts w:hint="eastAsia" w:ascii="Times New Roman" w:hAnsi="Times New Roman" w:eastAsia="仿宋"/>
          <w:color w:val="auto"/>
          <w:sz w:val="32"/>
          <w:szCs w:val="32"/>
        </w:rPr>
        <w:t>）。</w:t>
      </w:r>
    </w:p>
    <w:p w14:paraId="07B80CE5">
      <w:pPr>
        <w:keepNext w:val="0"/>
        <w:keepLines w:val="0"/>
        <w:pageBreakBefore w:val="0"/>
        <w:widowControl w:val="0"/>
        <w:numPr>
          <w:ilvl w:val="0"/>
          <w:numId w:val="0"/>
        </w:numPr>
        <w:kinsoku/>
        <w:wordWrap/>
        <w:overflowPunct/>
        <w:topLinePunct w:val="0"/>
        <w:autoSpaceDE/>
        <w:autoSpaceDN/>
        <w:bidi w:val="0"/>
        <w:adjustRightInd/>
        <w:snapToGrid/>
        <w:spacing w:line="528" w:lineRule="exact"/>
        <w:ind w:firstLine="640" w:firstLineChars="200"/>
        <w:textAlignment w:val="auto"/>
        <w:rPr>
          <w:rFonts w:ascii="Times New Roman" w:hAnsi="仿宋" w:eastAsia="仿宋"/>
          <w:color w:val="auto"/>
          <w:sz w:val="32"/>
          <w:szCs w:val="32"/>
        </w:rPr>
      </w:pPr>
      <w:r>
        <w:rPr>
          <w:rFonts w:hint="eastAsia" w:ascii="Times New Roman" w:hAnsi="仿宋" w:eastAsia="仿宋"/>
          <w:color w:val="auto"/>
          <w:sz w:val="32"/>
          <w:szCs w:val="32"/>
          <w:lang w:eastAsia="zh-CN"/>
        </w:rPr>
        <w:t>（</w:t>
      </w:r>
      <w:r>
        <w:rPr>
          <w:rFonts w:hint="eastAsia" w:ascii="Times New Roman" w:hAnsi="仿宋" w:eastAsia="仿宋"/>
          <w:color w:val="auto"/>
          <w:sz w:val="32"/>
          <w:szCs w:val="32"/>
          <w:lang w:val="en-US" w:eastAsia="zh-CN"/>
        </w:rPr>
        <w:t>二</w:t>
      </w:r>
      <w:r>
        <w:rPr>
          <w:rFonts w:hint="eastAsia" w:ascii="Times New Roman" w:hAnsi="仿宋" w:eastAsia="仿宋"/>
          <w:color w:val="auto"/>
          <w:sz w:val="32"/>
          <w:szCs w:val="32"/>
          <w:lang w:eastAsia="zh-CN"/>
        </w:rPr>
        <w:t>）</w:t>
      </w:r>
      <w:r>
        <w:rPr>
          <w:rFonts w:hint="eastAsia" w:ascii="Times New Roman" w:hAnsi="仿宋" w:eastAsia="仿宋"/>
          <w:color w:val="auto"/>
          <w:sz w:val="32"/>
          <w:szCs w:val="32"/>
        </w:rPr>
        <w:t>技术文件（权重</w:t>
      </w:r>
      <w:r>
        <w:rPr>
          <w:rFonts w:hint="eastAsia" w:ascii="Times New Roman" w:hAnsi="仿宋" w:eastAsia="仿宋"/>
          <w:color w:val="auto"/>
          <w:sz w:val="32"/>
          <w:szCs w:val="32"/>
          <w:lang w:val="en-US" w:eastAsia="zh-CN"/>
        </w:rPr>
        <w:t>4</w:t>
      </w:r>
      <w:r>
        <w:rPr>
          <w:rFonts w:hint="eastAsia" w:ascii="Times New Roman" w:hAnsi="仿宋" w:eastAsia="仿宋"/>
          <w:color w:val="auto"/>
          <w:sz w:val="32"/>
          <w:szCs w:val="32"/>
        </w:rPr>
        <w:t>0%，满分</w:t>
      </w:r>
      <w:r>
        <w:rPr>
          <w:rFonts w:hint="eastAsia" w:ascii="Times New Roman" w:hAnsi="仿宋" w:eastAsia="仿宋"/>
          <w:color w:val="auto"/>
          <w:sz w:val="32"/>
          <w:szCs w:val="32"/>
          <w:lang w:val="en-US" w:eastAsia="zh-CN"/>
        </w:rPr>
        <w:t>4</w:t>
      </w:r>
      <w:r>
        <w:rPr>
          <w:rFonts w:hint="eastAsia" w:ascii="Times New Roman" w:hAnsi="仿宋" w:eastAsia="仿宋"/>
          <w:color w:val="auto"/>
          <w:sz w:val="32"/>
          <w:szCs w:val="32"/>
        </w:rPr>
        <w:t>分）</w:t>
      </w:r>
    </w:p>
    <w:tbl>
      <w:tblPr>
        <w:tblStyle w:val="11"/>
        <w:tblW w:w="9026"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85"/>
        <w:gridCol w:w="1867"/>
        <w:gridCol w:w="2314"/>
        <w:gridCol w:w="3330"/>
      </w:tblGrid>
      <w:tr w14:paraId="2A687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630" w:type="dxa"/>
            <w:vAlign w:val="center"/>
          </w:tcPr>
          <w:p w14:paraId="1CE614B6">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序号</w:t>
            </w:r>
          </w:p>
        </w:tc>
        <w:tc>
          <w:tcPr>
            <w:tcW w:w="885" w:type="dxa"/>
            <w:vAlign w:val="center"/>
          </w:tcPr>
          <w:p w14:paraId="334997BD">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评审</w:t>
            </w:r>
          </w:p>
          <w:p w14:paraId="6A2DA0D8">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项目</w:t>
            </w:r>
          </w:p>
        </w:tc>
        <w:tc>
          <w:tcPr>
            <w:tcW w:w="1867" w:type="dxa"/>
            <w:vAlign w:val="center"/>
          </w:tcPr>
          <w:p w14:paraId="3AD14B91">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权重</w:t>
            </w:r>
          </w:p>
        </w:tc>
        <w:tc>
          <w:tcPr>
            <w:tcW w:w="2314" w:type="dxa"/>
            <w:vAlign w:val="center"/>
          </w:tcPr>
          <w:p w14:paraId="1CE066F5">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评审依据</w:t>
            </w:r>
          </w:p>
        </w:tc>
        <w:tc>
          <w:tcPr>
            <w:tcW w:w="3330" w:type="dxa"/>
            <w:vAlign w:val="center"/>
          </w:tcPr>
          <w:p w14:paraId="0334D044">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评分规则</w:t>
            </w:r>
          </w:p>
        </w:tc>
      </w:tr>
      <w:tr w14:paraId="0280D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2" w:hRule="atLeast"/>
        </w:trPr>
        <w:tc>
          <w:tcPr>
            <w:tcW w:w="630" w:type="dxa"/>
            <w:vAlign w:val="center"/>
          </w:tcPr>
          <w:p w14:paraId="3E7E6DD1">
            <w:pPr>
              <w:numPr>
                <w:ilvl w:val="0"/>
                <w:numId w:val="0"/>
              </w:numPr>
              <w:spacing w:line="360" w:lineRule="exact"/>
              <w:jc w:val="center"/>
              <w:rPr>
                <w:rFonts w:hint="eastAsia" w:ascii="仿宋" w:hAnsi="仿宋" w:eastAsia="仿宋" w:cs="仿宋"/>
                <w:color w:val="auto"/>
                <w:sz w:val="32"/>
                <w:szCs w:val="32"/>
              </w:rPr>
            </w:pPr>
            <w:r>
              <w:rPr>
                <w:rFonts w:hint="eastAsia" w:ascii="仿宋" w:hAnsi="仿宋" w:eastAsia="仿宋" w:cs="仿宋"/>
                <w:color w:val="auto"/>
                <w:sz w:val="32"/>
                <w:szCs w:val="32"/>
                <w:lang w:eastAsia="zh-CN"/>
              </w:rPr>
              <w:t>1</w:t>
            </w:r>
          </w:p>
        </w:tc>
        <w:tc>
          <w:tcPr>
            <w:tcW w:w="885" w:type="dxa"/>
            <w:vAlign w:val="center"/>
          </w:tcPr>
          <w:p w14:paraId="76F4A611">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业绩</w:t>
            </w:r>
          </w:p>
        </w:tc>
        <w:tc>
          <w:tcPr>
            <w:tcW w:w="1867" w:type="dxa"/>
            <w:vAlign w:val="center"/>
          </w:tcPr>
          <w:p w14:paraId="0152A2FA">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权重</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w:t>
            </w:r>
          </w:p>
          <w:p w14:paraId="7065D0A6">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满分</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分</w:t>
            </w:r>
          </w:p>
        </w:tc>
        <w:tc>
          <w:tcPr>
            <w:tcW w:w="2314" w:type="dxa"/>
            <w:vAlign w:val="center"/>
          </w:tcPr>
          <w:p w14:paraId="5086EFA7">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根据所附业绩合同数量、合同金额大小</w:t>
            </w:r>
            <w:r>
              <w:rPr>
                <w:rFonts w:hint="eastAsia" w:ascii="仿宋" w:hAnsi="仿宋" w:eastAsia="仿宋" w:cs="仿宋"/>
                <w:color w:val="auto"/>
                <w:sz w:val="32"/>
                <w:szCs w:val="32"/>
                <w:lang w:eastAsia="zh-CN"/>
              </w:rPr>
              <w:t>、项目规模</w:t>
            </w:r>
            <w:r>
              <w:rPr>
                <w:rFonts w:hint="eastAsia" w:ascii="仿宋" w:hAnsi="仿宋" w:eastAsia="仿宋" w:cs="仿宋"/>
                <w:color w:val="auto"/>
                <w:sz w:val="32"/>
                <w:szCs w:val="32"/>
              </w:rPr>
              <w:t>等方面进行横向对比评审，评审按五个档进行</w:t>
            </w:r>
          </w:p>
        </w:tc>
        <w:tc>
          <w:tcPr>
            <w:tcW w:w="3330" w:type="dxa"/>
            <w:vAlign w:val="center"/>
          </w:tcPr>
          <w:p w14:paraId="1F933B8D">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1为不合格</w:t>
            </w:r>
          </w:p>
          <w:p w14:paraId="4BDBE8E2">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（得分为1/5*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77C2C0CD">
            <w:pPr>
              <w:spacing w:line="360" w:lineRule="exact"/>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rPr>
              <w:t>2为</w:t>
            </w:r>
            <w:r>
              <w:rPr>
                <w:rFonts w:hint="eastAsia" w:ascii="仿宋" w:hAnsi="仿宋" w:eastAsia="仿宋" w:cs="仿宋"/>
                <w:color w:val="auto"/>
                <w:sz w:val="32"/>
                <w:szCs w:val="32"/>
                <w:lang w:val="en-US" w:eastAsia="zh-CN"/>
              </w:rPr>
              <w:t>合格</w:t>
            </w:r>
          </w:p>
          <w:p w14:paraId="5621EE35">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（得分为2/5*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29ABE5EC">
            <w:pPr>
              <w:spacing w:line="360" w:lineRule="exact"/>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rPr>
              <w:t>3为</w:t>
            </w:r>
            <w:r>
              <w:rPr>
                <w:rFonts w:hint="eastAsia" w:ascii="仿宋" w:hAnsi="仿宋" w:eastAsia="仿宋" w:cs="仿宋"/>
                <w:color w:val="auto"/>
                <w:sz w:val="32"/>
                <w:szCs w:val="32"/>
                <w:lang w:val="en-US" w:eastAsia="zh-CN"/>
              </w:rPr>
              <w:t>一般</w:t>
            </w:r>
          </w:p>
          <w:p w14:paraId="3732F29B">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（得分为3/5*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492BB49C">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4为良好</w:t>
            </w:r>
          </w:p>
          <w:p w14:paraId="1D73C602">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（得分为4/5*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7C932D62">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5为优秀</w:t>
            </w:r>
          </w:p>
          <w:p w14:paraId="56506249">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（得分为5/5*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tc>
      </w:tr>
      <w:tr w14:paraId="14A2B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3" w:hRule="atLeast"/>
        </w:trPr>
        <w:tc>
          <w:tcPr>
            <w:tcW w:w="630" w:type="dxa"/>
            <w:vAlign w:val="center"/>
          </w:tcPr>
          <w:p w14:paraId="320A122B">
            <w:pPr>
              <w:numPr>
                <w:ilvl w:val="0"/>
                <w:numId w:val="0"/>
              </w:numPr>
              <w:spacing w:line="360" w:lineRule="exact"/>
              <w:jc w:val="center"/>
              <w:rPr>
                <w:rFonts w:hint="eastAsia" w:ascii="仿宋" w:hAnsi="仿宋" w:eastAsia="仿宋" w:cs="仿宋"/>
                <w:color w:val="auto"/>
                <w:sz w:val="32"/>
                <w:szCs w:val="32"/>
              </w:rPr>
            </w:pPr>
            <w:r>
              <w:rPr>
                <w:rFonts w:hint="eastAsia" w:ascii="仿宋" w:hAnsi="仿宋" w:eastAsia="仿宋" w:cs="仿宋"/>
                <w:color w:val="auto"/>
                <w:sz w:val="32"/>
                <w:szCs w:val="32"/>
                <w:lang w:eastAsia="zh-CN"/>
              </w:rPr>
              <w:t>2</w:t>
            </w:r>
          </w:p>
        </w:tc>
        <w:tc>
          <w:tcPr>
            <w:tcW w:w="885" w:type="dxa"/>
            <w:vAlign w:val="center"/>
          </w:tcPr>
          <w:p w14:paraId="50AE3ABE">
            <w:pPr>
              <w:numPr>
                <w:ilvl w:val="0"/>
                <w:numId w:val="0"/>
              </w:numPr>
              <w:spacing w:line="360" w:lineRule="exact"/>
              <w:jc w:val="center"/>
              <w:rPr>
                <w:rFonts w:ascii="仿宋" w:hAnsi="仿宋" w:eastAsia="仿宋" w:cs="仿宋"/>
                <w:color w:val="auto"/>
                <w:sz w:val="32"/>
                <w:szCs w:val="32"/>
              </w:rPr>
            </w:pPr>
            <w:r>
              <w:rPr>
                <w:rFonts w:hint="eastAsia" w:ascii="Times New Roman" w:hAnsi="Times New Roman" w:eastAsia="仿宋"/>
                <w:color w:val="auto"/>
                <w:sz w:val="32"/>
                <w:szCs w:val="32"/>
                <w:lang w:eastAsia="zh-CN"/>
              </w:rPr>
              <w:t>维保服务</w:t>
            </w:r>
            <w:r>
              <w:rPr>
                <w:rFonts w:hint="eastAsia" w:ascii="Times New Roman" w:hAnsi="Times New Roman" w:eastAsia="仿宋"/>
                <w:color w:val="auto"/>
                <w:sz w:val="32"/>
                <w:szCs w:val="32"/>
                <w:lang w:val="en-US" w:eastAsia="zh-CN"/>
              </w:rPr>
              <w:t>方案</w:t>
            </w:r>
          </w:p>
        </w:tc>
        <w:tc>
          <w:tcPr>
            <w:tcW w:w="1867" w:type="dxa"/>
            <w:vAlign w:val="center"/>
          </w:tcPr>
          <w:p w14:paraId="1326225D">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权重</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w:t>
            </w:r>
          </w:p>
          <w:p w14:paraId="61015A63">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满分</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分</w:t>
            </w:r>
          </w:p>
        </w:tc>
        <w:tc>
          <w:tcPr>
            <w:tcW w:w="2314" w:type="dxa"/>
            <w:vAlign w:val="center"/>
          </w:tcPr>
          <w:p w14:paraId="642A0BB9">
            <w:pPr>
              <w:numPr>
                <w:ilvl w:val="0"/>
                <w:numId w:val="0"/>
              </w:numPr>
              <w:spacing w:line="360" w:lineRule="exact"/>
              <w:jc w:val="center"/>
              <w:rPr>
                <w:rFonts w:ascii="仿宋" w:hAnsi="仿宋" w:eastAsia="仿宋" w:cs="仿宋"/>
                <w:color w:val="auto"/>
                <w:sz w:val="32"/>
                <w:szCs w:val="32"/>
              </w:rPr>
            </w:pPr>
            <w:r>
              <w:rPr>
                <w:rFonts w:hint="eastAsia" w:ascii="仿宋" w:hAnsi="仿宋" w:eastAsia="仿宋" w:cs="仿宋"/>
                <w:color w:val="auto"/>
                <w:sz w:val="32"/>
                <w:szCs w:val="32"/>
              </w:rPr>
              <w:t>根据</w:t>
            </w:r>
            <w:r>
              <w:rPr>
                <w:rFonts w:hint="eastAsia" w:ascii="仿宋" w:hAnsi="仿宋" w:eastAsia="仿宋" w:cs="仿宋"/>
                <w:color w:val="auto"/>
                <w:sz w:val="32"/>
                <w:szCs w:val="32"/>
                <w:lang w:val="en-US" w:eastAsia="zh-CN"/>
              </w:rPr>
              <w:t>拟投入</w:t>
            </w:r>
            <w:r>
              <w:rPr>
                <w:rFonts w:hint="eastAsia" w:ascii="仿宋" w:hAnsi="仿宋" w:eastAsia="仿宋" w:cs="仿宋"/>
                <w:color w:val="auto"/>
                <w:sz w:val="32"/>
                <w:szCs w:val="32"/>
                <w:lang w:eastAsia="zh-CN"/>
              </w:rPr>
              <w:t>维保</w:t>
            </w:r>
            <w:r>
              <w:rPr>
                <w:rFonts w:hint="eastAsia" w:ascii="Times New Roman" w:hAnsi="仿宋" w:eastAsia="仿宋"/>
                <w:color w:val="auto"/>
                <w:sz w:val="32"/>
                <w:szCs w:val="32"/>
                <w:lang w:eastAsia="zh-CN"/>
              </w:rPr>
              <w:t>服务</w:t>
            </w:r>
            <w:r>
              <w:rPr>
                <w:rFonts w:hint="eastAsia" w:ascii="Times New Roman" w:hAnsi="仿宋" w:eastAsia="仿宋"/>
                <w:color w:val="auto"/>
                <w:sz w:val="32"/>
                <w:szCs w:val="32"/>
                <w:lang w:val="en-US" w:eastAsia="zh-CN"/>
              </w:rPr>
              <w:t>人员的经验、是否有</w:t>
            </w:r>
            <w:r>
              <w:rPr>
                <w:rFonts w:hint="eastAsia" w:ascii="Times New Roman" w:hAnsi="仿宋" w:eastAsia="仿宋"/>
                <w:color w:val="auto"/>
                <w:sz w:val="32"/>
                <w:szCs w:val="32"/>
                <w:lang w:eastAsia="zh-CN"/>
              </w:rPr>
              <w:t>驻场人员、</w:t>
            </w:r>
            <w:r>
              <w:rPr>
                <w:rFonts w:hint="eastAsia" w:ascii="Times New Roman" w:hAnsi="仿宋" w:eastAsia="仿宋"/>
                <w:color w:val="auto"/>
                <w:sz w:val="32"/>
                <w:szCs w:val="32"/>
                <w:lang w:val="en-US" w:eastAsia="zh-CN"/>
              </w:rPr>
              <w:t>维保服务质量承诺书</w:t>
            </w:r>
            <w:r>
              <w:rPr>
                <w:rFonts w:hint="eastAsia" w:ascii="仿宋" w:hAnsi="仿宋" w:eastAsia="仿宋" w:cs="仿宋"/>
                <w:color w:val="auto"/>
                <w:sz w:val="32"/>
                <w:szCs w:val="32"/>
              </w:rPr>
              <w:t>的优劣等方面的内容进行横向对比评审，评审按五个档进行</w:t>
            </w:r>
          </w:p>
        </w:tc>
        <w:tc>
          <w:tcPr>
            <w:tcW w:w="3330" w:type="dxa"/>
            <w:vAlign w:val="center"/>
          </w:tcPr>
          <w:p w14:paraId="13ACE3B2">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1为不合格</w:t>
            </w:r>
          </w:p>
          <w:p w14:paraId="10FBBFDA">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（得分为1/5*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5B73BFE3">
            <w:pPr>
              <w:spacing w:line="360" w:lineRule="exact"/>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rPr>
              <w:t>2为</w:t>
            </w:r>
            <w:r>
              <w:rPr>
                <w:rFonts w:hint="eastAsia" w:ascii="仿宋" w:hAnsi="仿宋" w:eastAsia="仿宋" w:cs="仿宋"/>
                <w:color w:val="auto"/>
                <w:sz w:val="32"/>
                <w:szCs w:val="32"/>
                <w:lang w:val="en-US" w:eastAsia="zh-CN"/>
              </w:rPr>
              <w:t>合格</w:t>
            </w:r>
          </w:p>
          <w:p w14:paraId="54C2A05C">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（得分为2/5*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72F5C23E">
            <w:pPr>
              <w:spacing w:line="360" w:lineRule="exact"/>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rPr>
              <w:t>3为</w:t>
            </w:r>
            <w:r>
              <w:rPr>
                <w:rFonts w:hint="eastAsia" w:ascii="仿宋" w:hAnsi="仿宋" w:eastAsia="仿宋" w:cs="仿宋"/>
                <w:color w:val="auto"/>
                <w:sz w:val="32"/>
                <w:szCs w:val="32"/>
                <w:lang w:val="en-US" w:eastAsia="zh-CN"/>
              </w:rPr>
              <w:t>一般</w:t>
            </w:r>
          </w:p>
          <w:p w14:paraId="6A30F9D6">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（得分为3/5*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136753EF">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4为良好</w:t>
            </w:r>
          </w:p>
          <w:p w14:paraId="760F3626">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（得分为4/5*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p w14:paraId="26CFDFB4">
            <w:pPr>
              <w:spacing w:line="360" w:lineRule="exact"/>
              <w:jc w:val="left"/>
              <w:rPr>
                <w:rFonts w:ascii="仿宋" w:hAnsi="仿宋" w:eastAsia="仿宋" w:cs="仿宋"/>
                <w:color w:val="auto"/>
                <w:sz w:val="32"/>
                <w:szCs w:val="32"/>
              </w:rPr>
            </w:pPr>
            <w:r>
              <w:rPr>
                <w:rFonts w:hint="eastAsia" w:ascii="仿宋" w:hAnsi="仿宋" w:eastAsia="仿宋" w:cs="仿宋"/>
                <w:color w:val="auto"/>
                <w:sz w:val="32"/>
                <w:szCs w:val="32"/>
              </w:rPr>
              <w:t>5为优秀</w:t>
            </w:r>
          </w:p>
          <w:p w14:paraId="1E57D130">
            <w:pPr>
              <w:spacing w:line="360" w:lineRule="exact"/>
              <w:rPr>
                <w:rFonts w:ascii="仿宋" w:hAnsi="仿宋" w:eastAsia="仿宋" w:cs="仿宋"/>
                <w:color w:val="auto"/>
                <w:sz w:val="32"/>
                <w:szCs w:val="32"/>
              </w:rPr>
            </w:pPr>
            <w:r>
              <w:rPr>
                <w:rFonts w:hint="eastAsia" w:ascii="仿宋" w:hAnsi="仿宋" w:eastAsia="仿宋" w:cs="仿宋"/>
                <w:color w:val="auto"/>
                <w:sz w:val="32"/>
                <w:szCs w:val="32"/>
              </w:rPr>
              <w:t>（得分为5/5*</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p>
        </w:tc>
      </w:tr>
    </w:tbl>
    <w:p w14:paraId="2C285EAD">
      <w:pPr>
        <w:bidi w:val="0"/>
        <w:rPr>
          <w:rFonts w:ascii="Calibri" w:hAnsi="Calibri" w:eastAsia="宋体" w:cs="Times New Roman"/>
          <w:color w:val="auto"/>
          <w:kern w:val="2"/>
          <w:sz w:val="21"/>
          <w:szCs w:val="22"/>
          <w:lang w:val="en-US" w:eastAsia="zh-CN" w:bidi="ar-SA"/>
        </w:rPr>
      </w:pPr>
    </w:p>
    <w:p w14:paraId="6F3B560D">
      <w:pPr>
        <w:keepNext w:val="0"/>
        <w:keepLines w:val="0"/>
        <w:pageBreakBefore w:val="0"/>
        <w:widowControl w:val="0"/>
        <w:kinsoku/>
        <w:wordWrap/>
        <w:overflowPunct/>
        <w:topLinePunct w:val="0"/>
        <w:autoSpaceDE/>
        <w:autoSpaceDN/>
        <w:bidi w:val="0"/>
        <w:adjustRightInd/>
        <w:snapToGrid/>
        <w:spacing w:beforeLines="0" w:afterLines="0" w:line="580" w:lineRule="exact"/>
        <w:ind w:firstLine="640" w:firstLineChars="200"/>
        <w:textAlignment w:val="auto"/>
        <w:rPr>
          <w:rFonts w:eastAsia="黑体"/>
          <w:bCs/>
          <w:color w:val="auto"/>
          <w:sz w:val="32"/>
          <w:szCs w:val="32"/>
          <w:shd w:val="clear" w:color="auto" w:fill="FFFFFF"/>
        </w:rPr>
      </w:pPr>
      <w:r>
        <w:rPr>
          <w:rFonts w:hint="eastAsia" w:eastAsia="黑体"/>
          <w:bCs/>
          <w:color w:val="auto"/>
          <w:sz w:val="32"/>
          <w:szCs w:val="32"/>
          <w:shd w:val="clear" w:color="auto" w:fill="FFFFFF"/>
          <w:lang w:eastAsia="zh-CN"/>
        </w:rPr>
        <w:t>七</w:t>
      </w:r>
      <w:r>
        <w:rPr>
          <w:rFonts w:ascii="Times New Roman" w:hAnsi="Times New Roman" w:eastAsia="黑体"/>
          <w:bCs/>
          <w:color w:val="auto"/>
          <w:sz w:val="32"/>
          <w:szCs w:val="32"/>
          <w:shd w:val="clear" w:color="auto" w:fill="FFFFFF"/>
        </w:rPr>
        <w:t>、中选候选人推荐原则</w:t>
      </w:r>
    </w:p>
    <w:p w14:paraId="4B376D56">
      <w:pPr>
        <w:spacing w:line="550" w:lineRule="exact"/>
        <w:ind w:firstLine="640" w:firstLineChars="200"/>
        <w:rPr>
          <w:color w:val="auto"/>
          <w:lang w:val="en-US" w:eastAsia="zh-CN"/>
        </w:rPr>
      </w:pPr>
      <w:r>
        <w:rPr>
          <w:rFonts w:hint="eastAsia" w:ascii="Times New Roman" w:hAnsi="仿宋" w:eastAsia="仿宋" w:cs="Times New Roman"/>
          <w:color w:val="auto"/>
          <w:sz w:val="32"/>
          <w:szCs w:val="32"/>
        </w:rPr>
        <w:t>我公司</w:t>
      </w:r>
      <w:r>
        <w:rPr>
          <w:rFonts w:hint="eastAsia" w:ascii="Times New Roman" w:hAnsi="仿宋" w:eastAsia="仿宋" w:cs="Times New Roman"/>
          <w:color w:val="auto"/>
          <w:sz w:val="32"/>
          <w:szCs w:val="32"/>
          <w:lang w:val="en-US" w:eastAsia="zh-CN"/>
        </w:rPr>
        <w:t>招采人员</w:t>
      </w:r>
      <w:r>
        <w:rPr>
          <w:rFonts w:hint="eastAsia" w:ascii="Times New Roman" w:hAnsi="仿宋" w:eastAsia="仿宋" w:cs="Times New Roman"/>
          <w:color w:val="auto"/>
          <w:sz w:val="32"/>
          <w:szCs w:val="32"/>
        </w:rPr>
        <w:t>按比选公告</w:t>
      </w:r>
      <w:r>
        <w:rPr>
          <w:rFonts w:hint="eastAsia" w:ascii="Times New Roman" w:hAnsi="仿宋" w:eastAsia="仿宋" w:cs="Times New Roman"/>
          <w:color w:val="auto"/>
          <w:sz w:val="32"/>
          <w:szCs w:val="32"/>
          <w:lang w:eastAsia="zh-CN"/>
        </w:rPr>
        <w:t>、</w:t>
      </w:r>
      <w:r>
        <w:rPr>
          <w:rFonts w:hint="eastAsia" w:ascii="Times New Roman" w:hAnsi="仿宋" w:eastAsia="仿宋" w:cs="Times New Roman"/>
          <w:color w:val="auto"/>
          <w:sz w:val="32"/>
          <w:szCs w:val="32"/>
          <w:lang w:val="en-US" w:eastAsia="zh-CN"/>
        </w:rPr>
        <w:t>文件</w:t>
      </w:r>
      <w:r>
        <w:rPr>
          <w:rFonts w:hint="eastAsia" w:ascii="Times New Roman" w:hAnsi="仿宋" w:eastAsia="仿宋" w:cs="Times New Roman"/>
          <w:color w:val="auto"/>
          <w:sz w:val="32"/>
          <w:szCs w:val="32"/>
        </w:rPr>
        <w:t>的要求，拟定综合评分表</w:t>
      </w:r>
      <w:r>
        <w:rPr>
          <w:rFonts w:hint="eastAsia" w:ascii="Times New Roman" w:hAnsi="仿宋" w:eastAsia="仿宋" w:cs="Times New Roman"/>
          <w:color w:val="auto"/>
          <w:sz w:val="32"/>
          <w:szCs w:val="32"/>
          <w:lang w:eastAsia="zh-CN"/>
        </w:rPr>
        <w:t>、</w:t>
      </w:r>
      <w:r>
        <w:rPr>
          <w:rFonts w:hint="eastAsia" w:ascii="Times New Roman" w:hAnsi="仿宋" w:eastAsia="仿宋" w:cs="Times New Roman"/>
          <w:color w:val="auto"/>
          <w:sz w:val="32"/>
          <w:szCs w:val="32"/>
          <w:lang w:val="en-US" w:eastAsia="zh-CN"/>
        </w:rPr>
        <w:t>评审报告</w:t>
      </w:r>
      <w:r>
        <w:rPr>
          <w:rFonts w:hint="eastAsia" w:ascii="Times New Roman" w:hAnsi="仿宋" w:eastAsia="仿宋" w:cs="Times New Roman"/>
          <w:color w:val="auto"/>
          <w:sz w:val="32"/>
          <w:szCs w:val="32"/>
        </w:rPr>
        <w:t>。</w:t>
      </w:r>
      <w:r>
        <w:rPr>
          <w:rFonts w:ascii="Times New Roman" w:hAnsi="Times New Roman" w:eastAsia="仿宋"/>
          <w:color w:val="auto"/>
          <w:sz w:val="32"/>
          <w:szCs w:val="32"/>
        </w:rPr>
        <w:t>评审表标明</w:t>
      </w:r>
      <w:r>
        <w:rPr>
          <w:rFonts w:hint="eastAsia" w:eastAsia="仿宋"/>
          <w:color w:val="auto"/>
          <w:sz w:val="32"/>
          <w:szCs w:val="32"/>
        </w:rPr>
        <w:t>报价</w:t>
      </w:r>
      <w:r>
        <w:rPr>
          <w:rFonts w:ascii="Times New Roman" w:hAnsi="Times New Roman" w:eastAsia="仿宋"/>
          <w:color w:val="auto"/>
          <w:sz w:val="32"/>
          <w:szCs w:val="32"/>
        </w:rPr>
        <w:t>单位的报价、对评审中各分项得分的统计和说明。经评审综合</w:t>
      </w:r>
      <w:r>
        <w:rPr>
          <w:rFonts w:hint="eastAsia" w:ascii="Times New Roman" w:hAnsi="Times New Roman" w:eastAsia="仿宋"/>
          <w:color w:val="auto"/>
          <w:sz w:val="32"/>
          <w:szCs w:val="32"/>
          <w:lang w:eastAsia="zh-CN"/>
        </w:rPr>
        <w:t>平均</w:t>
      </w:r>
      <w:r>
        <w:rPr>
          <w:rFonts w:ascii="Times New Roman" w:hAnsi="Times New Roman" w:eastAsia="仿宋"/>
          <w:color w:val="auto"/>
          <w:sz w:val="32"/>
          <w:szCs w:val="32"/>
        </w:rPr>
        <w:t>总得分最高者为第一中选候选人，总得分第二高者为第二中选候选人，总得分第三高者为第三中选候选人。第一中选候选人确定为中选人（按评审后得分由高到低顺序排列；得分相同的，按报价由低到高顺序排列；得分且报价相同的，按技术指标优劣顺序由参与评审人员投票确定）。因中选候选人放弃或者因不可抗力的提出不能履行合同时，</w:t>
      </w:r>
      <w:r>
        <w:rPr>
          <w:rFonts w:hint="eastAsia" w:ascii="Times New Roman" w:hAnsi="Times New Roman" w:eastAsia="仿宋"/>
          <w:color w:val="auto"/>
          <w:sz w:val="32"/>
          <w:szCs w:val="32"/>
          <w:lang w:val="en-US" w:eastAsia="zh-CN"/>
        </w:rPr>
        <w:t>我公司</w:t>
      </w:r>
      <w:r>
        <w:rPr>
          <w:rFonts w:ascii="Times New Roman" w:hAnsi="Times New Roman" w:eastAsia="仿宋"/>
          <w:color w:val="auto"/>
          <w:sz w:val="32"/>
          <w:szCs w:val="32"/>
        </w:rPr>
        <w:t>依序确定其他中选候选为中选人。</w:t>
      </w:r>
      <w:r>
        <w:rPr>
          <w:rFonts w:hint="eastAsia" w:ascii="Times New Roman" w:hAnsi="Times New Roman" w:eastAsia="仿宋"/>
          <w:color w:val="auto"/>
          <w:sz w:val="32"/>
          <w:szCs w:val="32"/>
        </w:rPr>
        <w:t xml:space="preserve">    </w:t>
      </w:r>
    </w:p>
    <w:p w14:paraId="76FC76ED">
      <w:pPr>
        <w:keepNext w:val="0"/>
        <w:keepLines w:val="0"/>
        <w:pageBreakBefore w:val="0"/>
        <w:widowControl w:val="0"/>
        <w:tabs>
          <w:tab w:val="left" w:pos="624"/>
        </w:tabs>
        <w:kinsoku/>
        <w:wordWrap/>
        <w:overflowPunct/>
        <w:topLinePunct w:val="0"/>
        <w:autoSpaceDE/>
        <w:autoSpaceDN/>
        <w:bidi w:val="0"/>
        <w:adjustRightInd/>
        <w:snapToGrid/>
        <w:spacing w:beforeLines="0" w:afterLines="0" w:line="580" w:lineRule="exact"/>
        <w:ind w:firstLine="640" w:firstLineChars="200"/>
        <w:textAlignment w:val="auto"/>
        <w:rPr>
          <w:rFonts w:hint="eastAsia" w:ascii="Times New Roman" w:hAnsi="Times New Roman" w:eastAsia="仿宋"/>
          <w:b w:val="0"/>
          <w:bCs w:val="0"/>
          <w:color w:val="auto"/>
          <w:sz w:val="32"/>
          <w:szCs w:val="32"/>
          <w:lang w:val="en-US" w:eastAsia="zh-CN"/>
        </w:rPr>
      </w:pPr>
      <w:r>
        <w:rPr>
          <w:rFonts w:hint="eastAsia" w:ascii="Times New Roman" w:hAnsi="Times New Roman" w:eastAsia="仿宋"/>
          <w:b w:val="0"/>
          <w:bCs w:val="0"/>
          <w:color w:val="auto"/>
          <w:sz w:val="32"/>
          <w:szCs w:val="32"/>
          <w:lang w:eastAsia="zh-CN"/>
        </w:rPr>
        <w:t>附件</w:t>
      </w:r>
      <w:r>
        <w:rPr>
          <w:rFonts w:hint="eastAsia" w:ascii="Times New Roman" w:hAnsi="Times New Roman" w:eastAsia="仿宋"/>
          <w:b w:val="0"/>
          <w:bCs w:val="0"/>
          <w:color w:val="auto"/>
          <w:sz w:val="32"/>
          <w:szCs w:val="32"/>
          <w:lang w:val="en-US" w:eastAsia="zh-CN"/>
        </w:rPr>
        <w:t>：中马钦州产业园区启动区中马广场（除3#酒店）项目2025—2026年消防维保合同</w:t>
      </w:r>
    </w:p>
    <w:p w14:paraId="22431571">
      <w:pPr>
        <w:keepNext w:val="0"/>
        <w:keepLines w:val="0"/>
        <w:pageBreakBefore w:val="0"/>
        <w:widowControl w:val="0"/>
        <w:kinsoku/>
        <w:wordWrap/>
        <w:overflowPunct/>
        <w:topLinePunct w:val="0"/>
        <w:autoSpaceDE/>
        <w:autoSpaceDN/>
        <w:bidi w:val="0"/>
        <w:adjustRightInd/>
        <w:snapToGrid/>
        <w:spacing w:beforeLines="0" w:afterLines="0" w:line="580" w:lineRule="exact"/>
        <w:ind w:firstLine="640" w:firstLineChars="200"/>
        <w:textAlignment w:val="auto"/>
        <w:rPr>
          <w:rFonts w:hint="eastAsia" w:ascii="Times New Roman" w:hAnsi="Times New Roman" w:eastAsia="仿宋"/>
          <w:color w:val="auto"/>
          <w:sz w:val="32"/>
          <w:szCs w:val="32"/>
          <w:lang w:val="en-US" w:eastAsia="zh-CN"/>
        </w:rPr>
      </w:pPr>
    </w:p>
    <w:p w14:paraId="7CBB311C">
      <w:pPr>
        <w:keepNext w:val="0"/>
        <w:keepLines w:val="0"/>
        <w:pageBreakBefore w:val="0"/>
        <w:widowControl w:val="0"/>
        <w:kinsoku/>
        <w:wordWrap/>
        <w:overflowPunct/>
        <w:topLinePunct w:val="0"/>
        <w:autoSpaceDE/>
        <w:autoSpaceDN/>
        <w:bidi w:val="0"/>
        <w:adjustRightInd/>
        <w:snapToGrid/>
        <w:spacing w:beforeLines="0" w:afterLines="0" w:line="580" w:lineRule="exact"/>
        <w:textAlignment w:val="auto"/>
        <w:rPr>
          <w:rFonts w:ascii="Times New Roman" w:hAnsi="Times New Roman" w:eastAsia="仿宋"/>
          <w:color w:val="auto"/>
          <w:sz w:val="32"/>
          <w:szCs w:val="32"/>
        </w:rPr>
      </w:pPr>
    </w:p>
    <w:p w14:paraId="5F9F365E">
      <w:pPr>
        <w:keepNext w:val="0"/>
        <w:keepLines w:val="0"/>
        <w:pageBreakBefore w:val="0"/>
        <w:widowControl w:val="0"/>
        <w:kinsoku/>
        <w:wordWrap/>
        <w:overflowPunct/>
        <w:topLinePunct w:val="0"/>
        <w:autoSpaceDE/>
        <w:autoSpaceDN/>
        <w:bidi w:val="0"/>
        <w:adjustRightInd/>
        <w:snapToGrid/>
        <w:spacing w:beforeLines="0" w:afterLines="0" w:line="580" w:lineRule="exact"/>
        <w:textAlignment w:val="auto"/>
        <w:rPr>
          <w:rFonts w:ascii="Times New Roman" w:hAnsi="Times New Roman" w:eastAsia="仿宋"/>
          <w:color w:val="auto"/>
          <w:sz w:val="32"/>
          <w:szCs w:val="32"/>
        </w:rPr>
      </w:pPr>
    </w:p>
    <w:p w14:paraId="37CBC8C7">
      <w:pPr>
        <w:keepNext w:val="0"/>
        <w:keepLines w:val="0"/>
        <w:pageBreakBefore w:val="0"/>
        <w:widowControl w:val="0"/>
        <w:kinsoku/>
        <w:wordWrap/>
        <w:overflowPunct/>
        <w:topLinePunct w:val="0"/>
        <w:autoSpaceDE/>
        <w:autoSpaceDN/>
        <w:bidi w:val="0"/>
        <w:adjustRightInd/>
        <w:snapToGrid/>
        <w:spacing w:beforeLines="0" w:afterLines="0" w:line="580" w:lineRule="exact"/>
        <w:textAlignment w:val="auto"/>
        <w:rPr>
          <w:rFonts w:ascii="Times New Roman" w:hAnsi="Times New Roman" w:eastAsia="仿宋"/>
          <w:color w:val="auto"/>
          <w:sz w:val="32"/>
          <w:szCs w:val="32"/>
        </w:rPr>
      </w:pPr>
      <w:r>
        <w:rPr>
          <w:rFonts w:hint="eastAsia" w:ascii="Times New Roman" w:hAnsi="Times New Roman" w:eastAsia="仿宋"/>
          <w:color w:val="auto"/>
          <w:sz w:val="32"/>
          <w:szCs w:val="32"/>
        </w:rPr>
        <w:t xml:space="preserve">              </w:t>
      </w:r>
      <w:r>
        <w:rPr>
          <w:rFonts w:hint="eastAsia" w:ascii="Times New Roman" w:hAnsi="Times New Roman" w:eastAsia="仿宋"/>
          <w:color w:val="auto"/>
          <w:sz w:val="32"/>
          <w:szCs w:val="32"/>
          <w:lang w:val="en-US" w:eastAsia="zh-CN"/>
        </w:rPr>
        <w:t xml:space="preserve">          广</w:t>
      </w:r>
      <w:r>
        <w:rPr>
          <w:rFonts w:hint="eastAsia" w:ascii="Times New Roman" w:hAnsi="Times New Roman" w:eastAsia="仿宋"/>
          <w:color w:val="auto"/>
          <w:sz w:val="32"/>
          <w:szCs w:val="32"/>
        </w:rPr>
        <w:t>西</w:t>
      </w:r>
      <w:r>
        <w:rPr>
          <w:rFonts w:hint="eastAsia" w:ascii="Times New Roman" w:hAnsi="Times New Roman" w:eastAsia="仿宋"/>
          <w:color w:val="auto"/>
          <w:sz w:val="32"/>
          <w:szCs w:val="32"/>
          <w:lang w:eastAsia="zh-CN"/>
        </w:rPr>
        <w:t>中马钦州产业园区开发</w:t>
      </w:r>
      <w:r>
        <w:rPr>
          <w:rFonts w:hint="eastAsia" w:ascii="Times New Roman" w:hAnsi="Times New Roman" w:eastAsia="仿宋"/>
          <w:color w:val="auto"/>
          <w:sz w:val="32"/>
          <w:szCs w:val="32"/>
        </w:rPr>
        <w:t>有限公司</w:t>
      </w:r>
    </w:p>
    <w:p w14:paraId="65E9A2DC">
      <w:pPr>
        <w:keepNext w:val="0"/>
        <w:keepLines w:val="0"/>
        <w:pageBreakBefore w:val="0"/>
        <w:widowControl w:val="0"/>
        <w:tabs>
          <w:tab w:val="left" w:pos="1164"/>
        </w:tabs>
        <w:kinsoku/>
        <w:wordWrap/>
        <w:overflowPunct/>
        <w:topLinePunct w:val="0"/>
        <w:autoSpaceDE/>
        <w:autoSpaceDN/>
        <w:bidi w:val="0"/>
        <w:adjustRightInd/>
        <w:snapToGrid/>
        <w:spacing w:line="580" w:lineRule="exact"/>
        <w:jc w:val="left"/>
        <w:textAlignment w:val="auto"/>
        <w:rPr>
          <w:color w:val="auto"/>
          <w:lang w:val="en-US" w:eastAsia="zh-CN"/>
        </w:rPr>
        <w:sectPr>
          <w:headerReference r:id="rId3" w:type="default"/>
          <w:footerReference r:id="rId4" w:type="default"/>
          <w:pgSz w:w="11906" w:h="16838"/>
          <w:pgMar w:top="1814" w:right="1361" w:bottom="1814" w:left="1474" w:header="851" w:footer="992" w:gutter="0"/>
          <w:pgNumType w:fmt="decimal"/>
          <w:cols w:space="720" w:num="1"/>
          <w:docGrid w:type="lines" w:linePitch="321" w:charSpace="0"/>
        </w:sectPr>
      </w:pPr>
      <w:r>
        <w:rPr>
          <w:rFonts w:ascii="Times New Roman" w:hAnsi="Times New Roman" w:eastAsia="仿宋"/>
          <w:color w:val="auto"/>
          <w:sz w:val="32"/>
          <w:szCs w:val="32"/>
        </w:rPr>
        <w:t>                     </w:t>
      </w:r>
      <w:r>
        <w:rPr>
          <w:rFonts w:hint="eastAsia" w:ascii="Times New Roman" w:hAnsi="Times New Roman" w:eastAsia="仿宋"/>
          <w:color w:val="auto"/>
          <w:sz w:val="32"/>
          <w:szCs w:val="32"/>
        </w:rPr>
        <w:t xml:space="preserve">         </w:t>
      </w:r>
      <w:r>
        <w:rPr>
          <w:rFonts w:hint="eastAsia" w:ascii="Times New Roman" w:hAnsi="Times New Roman" w:eastAsia="仿宋"/>
          <w:color w:val="auto"/>
          <w:sz w:val="32"/>
          <w:szCs w:val="32"/>
          <w:lang w:val="en-US" w:eastAsia="zh-CN"/>
        </w:rPr>
        <w:t xml:space="preserve">        </w:t>
      </w:r>
      <w:r>
        <w:rPr>
          <w:rFonts w:hint="eastAsia" w:ascii="Times New Roman" w:hAnsi="Times New Roman" w:eastAsia="仿宋"/>
          <w:color w:val="auto"/>
          <w:sz w:val="32"/>
          <w:szCs w:val="32"/>
        </w:rPr>
        <w:t xml:space="preserve"> </w:t>
      </w:r>
      <w:r>
        <w:rPr>
          <w:rFonts w:hint="eastAsia" w:ascii="Times New Roman" w:hAnsi="Times New Roman" w:eastAsia="仿宋"/>
          <w:color w:val="auto"/>
          <w:sz w:val="32"/>
          <w:szCs w:val="32"/>
          <w:lang w:val="en-US" w:eastAsia="zh-CN"/>
        </w:rPr>
        <w:t xml:space="preserve"> </w:t>
      </w:r>
      <w:r>
        <w:rPr>
          <w:rFonts w:hint="eastAsia" w:ascii="Times New Roman" w:hAnsi="Times New Roman" w:eastAsia="仿宋"/>
          <w:color w:val="auto"/>
          <w:sz w:val="32"/>
          <w:szCs w:val="32"/>
        </w:rPr>
        <w:t xml:space="preserve">  </w:t>
      </w:r>
      <w:r>
        <w:rPr>
          <w:rFonts w:ascii="Times New Roman" w:hAnsi="Times New Roman" w:eastAsia="仿宋"/>
          <w:color w:val="auto"/>
          <w:sz w:val="32"/>
          <w:szCs w:val="32"/>
        </w:rPr>
        <w:t>20</w:t>
      </w:r>
      <w:r>
        <w:rPr>
          <w:rFonts w:hint="eastAsia" w:ascii="Times New Roman" w:hAnsi="Times New Roman" w:eastAsia="仿宋"/>
          <w:color w:val="auto"/>
          <w:sz w:val="32"/>
          <w:szCs w:val="32"/>
          <w:lang w:val="en-US" w:eastAsia="zh-CN"/>
        </w:rPr>
        <w:t>25</w:t>
      </w:r>
      <w:r>
        <w:rPr>
          <w:rFonts w:ascii="Times New Roman" w:hAnsi="仿宋" w:eastAsia="仿宋"/>
          <w:color w:val="auto"/>
          <w:sz w:val="32"/>
          <w:szCs w:val="32"/>
        </w:rPr>
        <w:t>年</w:t>
      </w:r>
      <w:r>
        <w:rPr>
          <w:rFonts w:hint="eastAsia" w:ascii="Times New Roman" w:hAnsi="仿宋" w:eastAsia="仿宋"/>
          <w:color w:val="auto"/>
          <w:sz w:val="32"/>
          <w:szCs w:val="32"/>
          <w:lang w:val="en-US" w:eastAsia="zh-CN"/>
        </w:rPr>
        <w:t>7</w:t>
      </w:r>
      <w:r>
        <w:rPr>
          <w:rFonts w:ascii="Times New Roman" w:hAnsi="仿宋" w:eastAsia="仿宋"/>
          <w:color w:val="auto"/>
          <w:sz w:val="32"/>
          <w:szCs w:val="32"/>
        </w:rPr>
        <w:t>月</w:t>
      </w:r>
      <w:r>
        <w:rPr>
          <w:rFonts w:hint="eastAsia" w:ascii="Times New Roman" w:hAnsi="仿宋" w:eastAsia="仿宋"/>
          <w:color w:val="auto"/>
          <w:sz w:val="32"/>
          <w:szCs w:val="32"/>
          <w:lang w:val="en-US" w:eastAsia="zh-CN"/>
        </w:rPr>
        <w:t>29</w:t>
      </w:r>
      <w:bookmarkStart w:id="3" w:name="_GoBack"/>
      <w:bookmarkEnd w:id="3"/>
      <w:r>
        <w:rPr>
          <w:rFonts w:hint="eastAsia" w:ascii="Times New Roman" w:hAnsi="仿宋" w:eastAsia="仿宋"/>
          <w:color w:val="auto"/>
          <w:sz w:val="32"/>
          <w:szCs w:val="32"/>
          <w:lang w:val="en-US" w:eastAsia="zh-CN"/>
        </w:rPr>
        <w:t>日</w:t>
      </w:r>
    </w:p>
    <w:p w14:paraId="0CA66E48">
      <w:pPr>
        <w:keepNext w:val="0"/>
        <w:keepLines w:val="0"/>
        <w:pageBreakBefore w:val="0"/>
        <w:widowControl w:val="0"/>
        <w:kinsoku/>
        <w:wordWrap/>
        <w:overflowPunct/>
        <w:topLinePunct w:val="0"/>
        <w:autoSpaceDE/>
        <w:autoSpaceDN/>
        <w:bidi w:val="0"/>
        <w:adjustRightInd w:val="0"/>
        <w:snapToGrid w:val="0"/>
        <w:spacing w:after="157" w:afterLines="50" w:line="510" w:lineRule="exact"/>
        <w:textAlignment w:val="auto"/>
        <w:rPr>
          <w:rFonts w:hint="eastAsia" w:ascii="仿宋" w:hAnsi="仿宋" w:eastAsia="仿宋"/>
          <w:color w:val="auto"/>
          <w:sz w:val="30"/>
          <w:szCs w:val="30"/>
          <w:lang w:eastAsia="zh-CN"/>
        </w:rPr>
      </w:pPr>
      <w:r>
        <w:rPr>
          <w:rFonts w:hint="eastAsia" w:ascii="仿宋" w:hAnsi="仿宋" w:eastAsia="仿宋"/>
          <w:color w:val="auto"/>
          <w:sz w:val="30"/>
          <w:szCs w:val="30"/>
          <w:lang w:eastAsia="zh-CN"/>
        </w:rPr>
        <w:t>附件</w:t>
      </w:r>
    </w:p>
    <w:p w14:paraId="2CC86D3C">
      <w:pPr>
        <w:jc w:val="center"/>
        <w:rPr>
          <w:rFonts w:ascii="仿宋" w:hAnsi="仿宋" w:eastAsia="仿宋"/>
          <w:b/>
          <w:color w:val="auto"/>
          <w:sz w:val="24"/>
          <w:szCs w:val="24"/>
        </w:rPr>
      </w:pPr>
      <w:r>
        <w:rPr>
          <w:rFonts w:hint="eastAsia" w:ascii="仿宋" w:hAnsi="仿宋" w:eastAsia="仿宋"/>
          <w:b/>
          <w:color w:val="auto"/>
          <w:sz w:val="44"/>
          <w:szCs w:val="44"/>
          <w:lang w:val="en-US" w:eastAsia="zh-CN"/>
        </w:rPr>
        <w:t>中马钦州产业园区启动区</w:t>
      </w:r>
      <w:r>
        <w:rPr>
          <w:rFonts w:hint="eastAsia" w:ascii="仿宋" w:hAnsi="仿宋" w:eastAsia="仿宋"/>
          <w:b/>
          <w:color w:val="auto"/>
          <w:sz w:val="44"/>
          <w:szCs w:val="44"/>
        </w:rPr>
        <w:t>中马广场（除3#酒店）项目20</w:t>
      </w:r>
      <w:r>
        <w:rPr>
          <w:rFonts w:ascii="仿宋" w:hAnsi="仿宋" w:eastAsia="仿宋"/>
          <w:b/>
          <w:color w:val="auto"/>
          <w:sz w:val="44"/>
          <w:szCs w:val="44"/>
        </w:rPr>
        <w:t>2</w:t>
      </w:r>
      <w:r>
        <w:rPr>
          <w:rFonts w:hint="eastAsia" w:ascii="仿宋" w:hAnsi="仿宋" w:eastAsia="仿宋"/>
          <w:b/>
          <w:color w:val="auto"/>
          <w:sz w:val="44"/>
          <w:szCs w:val="44"/>
          <w:lang w:val="en-US" w:eastAsia="zh-CN"/>
        </w:rPr>
        <w:t>5</w:t>
      </w:r>
      <w:r>
        <w:rPr>
          <w:rFonts w:hint="eastAsia" w:ascii="仿宋" w:hAnsi="仿宋" w:eastAsia="仿宋"/>
          <w:b/>
          <w:color w:val="auto"/>
          <w:sz w:val="44"/>
          <w:szCs w:val="44"/>
        </w:rPr>
        <w:t>-202</w:t>
      </w:r>
      <w:r>
        <w:rPr>
          <w:rFonts w:hint="eastAsia" w:ascii="仿宋" w:hAnsi="仿宋" w:eastAsia="仿宋"/>
          <w:b/>
          <w:color w:val="auto"/>
          <w:sz w:val="44"/>
          <w:szCs w:val="44"/>
          <w:lang w:val="en-US" w:eastAsia="zh-CN"/>
        </w:rPr>
        <w:t>6</w:t>
      </w:r>
      <w:r>
        <w:rPr>
          <w:rFonts w:hint="eastAsia" w:ascii="仿宋" w:hAnsi="仿宋" w:eastAsia="仿宋"/>
          <w:b/>
          <w:color w:val="auto"/>
          <w:sz w:val="44"/>
          <w:szCs w:val="44"/>
        </w:rPr>
        <w:t xml:space="preserve">年消防维保合同 </w:t>
      </w:r>
    </w:p>
    <w:p w14:paraId="6DE3DA6F">
      <w:pPr>
        <w:jc w:val="right"/>
        <w:rPr>
          <w:color w:val="auto"/>
        </w:rPr>
      </w:pPr>
    </w:p>
    <w:p w14:paraId="614B30A1">
      <w:pPr>
        <w:wordWrap w:val="0"/>
        <w:jc w:val="center"/>
        <w:rPr>
          <w:rFonts w:hint="default" w:eastAsia="宋体"/>
          <w:color w:val="auto"/>
          <w:lang w:val="en-US" w:eastAsia="zh-CN"/>
        </w:rPr>
      </w:pPr>
      <w:r>
        <w:rPr>
          <w:rFonts w:hint="eastAsia"/>
          <w:color w:val="auto"/>
          <w:lang w:val="en-US" w:eastAsia="zh-CN"/>
        </w:rPr>
        <w:t xml:space="preserve">                                                 </w:t>
      </w:r>
      <w:r>
        <w:rPr>
          <w:rFonts w:hint="eastAsia"/>
          <w:color w:val="auto"/>
        </w:rPr>
        <w:t>合同编号：</w:t>
      </w:r>
    </w:p>
    <w:p w14:paraId="3FA108F0">
      <w:pPr>
        <w:keepNext w:val="0"/>
        <w:keepLines w:val="0"/>
        <w:pageBreakBefore w:val="0"/>
        <w:kinsoku/>
        <w:wordWrap/>
        <w:overflowPunct/>
        <w:topLinePunct w:val="0"/>
        <w:bidi w:val="0"/>
        <w:adjustRightInd w:val="0"/>
        <w:snapToGrid w:val="0"/>
        <w:spacing w:line="480" w:lineRule="exact"/>
        <w:ind w:firstLine="600" w:firstLineChars="200"/>
        <w:textAlignment w:val="auto"/>
        <w:rPr>
          <w:rFonts w:ascii="仿宋" w:hAnsi="仿宋" w:eastAsia="仿宋"/>
          <w:color w:val="auto"/>
          <w:sz w:val="30"/>
          <w:szCs w:val="30"/>
        </w:rPr>
      </w:pPr>
    </w:p>
    <w:p w14:paraId="1CABEF2C">
      <w:pPr>
        <w:keepNext w:val="0"/>
        <w:keepLines w:val="0"/>
        <w:pageBreakBefore w:val="0"/>
        <w:kinsoku/>
        <w:wordWrap/>
        <w:overflowPunct/>
        <w:topLinePunct w:val="0"/>
        <w:bidi w:val="0"/>
        <w:adjustRightInd w:val="0"/>
        <w:snapToGrid w:val="0"/>
        <w:spacing w:line="480" w:lineRule="exact"/>
        <w:ind w:firstLine="600" w:firstLineChars="200"/>
        <w:textAlignment w:val="auto"/>
        <w:rPr>
          <w:rFonts w:ascii="仿宋" w:hAnsi="仿宋" w:eastAsia="仿宋"/>
          <w:color w:val="auto"/>
          <w:sz w:val="30"/>
          <w:szCs w:val="30"/>
        </w:rPr>
      </w:pPr>
      <w:r>
        <w:rPr>
          <w:rFonts w:ascii="仿宋" w:hAnsi="仿宋" w:eastAsia="仿宋"/>
          <w:color w:val="auto"/>
          <w:sz w:val="30"/>
          <w:szCs w:val="30"/>
        </w:rPr>
        <w:t>甲方（委托方）：</w:t>
      </w:r>
    </w:p>
    <w:p w14:paraId="553DCE1C">
      <w:pPr>
        <w:keepNext w:val="0"/>
        <w:keepLines w:val="0"/>
        <w:pageBreakBefore w:val="0"/>
        <w:kinsoku/>
        <w:wordWrap/>
        <w:overflowPunct/>
        <w:topLinePunct w:val="0"/>
        <w:bidi w:val="0"/>
        <w:adjustRightInd w:val="0"/>
        <w:snapToGrid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法定代表人：</w:t>
      </w:r>
    </w:p>
    <w:p w14:paraId="737FEB4C">
      <w:pPr>
        <w:keepNext w:val="0"/>
        <w:keepLines w:val="0"/>
        <w:pageBreakBefore w:val="0"/>
        <w:kinsoku/>
        <w:wordWrap/>
        <w:overflowPunct/>
        <w:topLinePunct w:val="0"/>
        <w:bidi w:val="0"/>
        <w:adjustRightInd w:val="0"/>
        <w:snapToGrid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联系人</w:t>
      </w:r>
      <w:r>
        <w:rPr>
          <w:rFonts w:ascii="仿宋" w:hAnsi="仿宋" w:eastAsia="仿宋"/>
          <w:color w:val="auto"/>
          <w:sz w:val="30"/>
          <w:szCs w:val="30"/>
        </w:rPr>
        <w:t>：</w:t>
      </w:r>
    </w:p>
    <w:p w14:paraId="4E53DE70">
      <w:pPr>
        <w:keepNext w:val="0"/>
        <w:keepLines w:val="0"/>
        <w:pageBreakBefore w:val="0"/>
        <w:kinsoku/>
        <w:wordWrap/>
        <w:overflowPunct/>
        <w:topLinePunct w:val="0"/>
        <w:bidi w:val="0"/>
        <w:adjustRightInd w:val="0"/>
        <w:snapToGrid w:val="0"/>
        <w:spacing w:line="480" w:lineRule="exact"/>
        <w:ind w:firstLine="600" w:firstLineChars="200"/>
        <w:textAlignment w:val="auto"/>
        <w:rPr>
          <w:rFonts w:ascii="仿宋" w:hAnsi="仿宋" w:eastAsia="仿宋"/>
          <w:color w:val="auto"/>
          <w:sz w:val="30"/>
          <w:szCs w:val="30"/>
        </w:rPr>
      </w:pPr>
      <w:r>
        <w:rPr>
          <w:rFonts w:ascii="仿宋" w:hAnsi="仿宋" w:eastAsia="仿宋"/>
          <w:color w:val="auto"/>
          <w:sz w:val="30"/>
          <w:szCs w:val="30"/>
        </w:rPr>
        <w:t>联系</w:t>
      </w:r>
      <w:r>
        <w:rPr>
          <w:rFonts w:hint="eastAsia" w:ascii="仿宋" w:hAnsi="仿宋" w:eastAsia="仿宋"/>
          <w:color w:val="auto"/>
          <w:sz w:val="30"/>
          <w:szCs w:val="30"/>
        </w:rPr>
        <w:t>电话</w:t>
      </w:r>
      <w:r>
        <w:rPr>
          <w:rFonts w:ascii="仿宋" w:hAnsi="仿宋" w:eastAsia="仿宋"/>
          <w:color w:val="auto"/>
          <w:sz w:val="30"/>
          <w:szCs w:val="30"/>
        </w:rPr>
        <w:t>：</w:t>
      </w:r>
    </w:p>
    <w:p w14:paraId="1BDC3D7B">
      <w:pPr>
        <w:keepNext w:val="0"/>
        <w:keepLines w:val="0"/>
        <w:pageBreakBefore w:val="0"/>
        <w:kinsoku/>
        <w:wordWrap/>
        <w:overflowPunct/>
        <w:topLinePunct w:val="0"/>
        <w:bidi w:val="0"/>
        <w:adjustRightInd w:val="0"/>
        <w:snapToGrid w:val="0"/>
        <w:spacing w:line="480" w:lineRule="exact"/>
        <w:ind w:firstLine="600" w:firstLineChars="200"/>
        <w:textAlignment w:val="auto"/>
        <w:rPr>
          <w:rFonts w:hint="eastAsia" w:ascii="仿宋" w:hAnsi="仿宋" w:eastAsia="仿宋"/>
          <w:color w:val="auto"/>
          <w:sz w:val="30"/>
          <w:szCs w:val="30"/>
          <w:lang w:eastAsia="zh-CN"/>
        </w:rPr>
      </w:pPr>
      <w:r>
        <w:rPr>
          <w:rFonts w:ascii="仿宋" w:hAnsi="仿宋" w:eastAsia="仿宋"/>
          <w:color w:val="auto"/>
          <w:sz w:val="30"/>
          <w:szCs w:val="30"/>
        </w:rPr>
        <w:t>通讯地址：</w:t>
      </w:r>
    </w:p>
    <w:p w14:paraId="108F68D5">
      <w:pPr>
        <w:pStyle w:val="9"/>
        <w:keepNext w:val="0"/>
        <w:keepLines w:val="0"/>
        <w:pageBreakBefore w:val="0"/>
        <w:kinsoku/>
        <w:wordWrap/>
        <w:overflowPunct/>
        <w:topLinePunct w:val="0"/>
        <w:bidi w:val="0"/>
        <w:spacing w:before="0" w:beforeAutospacing="0" w:after="0" w:afterAutospacing="0" w:line="480" w:lineRule="exact"/>
        <w:ind w:firstLine="600" w:firstLineChars="200"/>
        <w:textAlignment w:val="auto"/>
        <w:rPr>
          <w:rFonts w:ascii="仿宋" w:hAnsi="仿宋" w:eastAsia="仿宋"/>
          <w:color w:val="auto"/>
          <w:sz w:val="30"/>
          <w:szCs w:val="30"/>
        </w:rPr>
      </w:pPr>
    </w:p>
    <w:p w14:paraId="763A9F16">
      <w:pPr>
        <w:keepNext w:val="0"/>
        <w:keepLines w:val="0"/>
        <w:pageBreakBefore w:val="0"/>
        <w:kinsoku/>
        <w:wordWrap/>
        <w:overflowPunct/>
        <w:topLinePunct w:val="0"/>
        <w:bidi w:val="0"/>
        <w:adjustRightInd w:val="0"/>
        <w:snapToGrid w:val="0"/>
        <w:spacing w:line="480" w:lineRule="exact"/>
        <w:ind w:firstLine="600" w:firstLineChars="200"/>
        <w:textAlignment w:val="auto"/>
        <w:rPr>
          <w:rFonts w:hint="eastAsia" w:ascii="仿宋" w:hAnsi="仿宋" w:eastAsia="仿宋"/>
          <w:color w:val="auto"/>
          <w:sz w:val="30"/>
          <w:szCs w:val="30"/>
        </w:rPr>
      </w:pPr>
      <w:r>
        <w:rPr>
          <w:rFonts w:hint="eastAsia" w:ascii="仿宋" w:hAnsi="仿宋" w:eastAsia="仿宋"/>
          <w:color w:val="auto"/>
          <w:sz w:val="30"/>
          <w:szCs w:val="30"/>
        </w:rPr>
        <w:t>乙方(受托方):</w:t>
      </w:r>
    </w:p>
    <w:p w14:paraId="36663BF0">
      <w:pPr>
        <w:keepNext w:val="0"/>
        <w:keepLines w:val="0"/>
        <w:pageBreakBefore w:val="0"/>
        <w:kinsoku/>
        <w:wordWrap/>
        <w:overflowPunct/>
        <w:topLinePunct w:val="0"/>
        <w:bidi w:val="0"/>
        <w:adjustRightInd w:val="0"/>
        <w:snapToGrid w:val="0"/>
        <w:spacing w:line="480" w:lineRule="exact"/>
        <w:ind w:firstLine="600" w:firstLineChars="200"/>
        <w:textAlignment w:val="auto"/>
        <w:rPr>
          <w:rFonts w:hint="eastAsia" w:ascii="仿宋" w:hAnsi="仿宋" w:eastAsia="仿宋"/>
          <w:color w:val="auto"/>
          <w:sz w:val="30"/>
          <w:szCs w:val="30"/>
        </w:rPr>
      </w:pPr>
      <w:r>
        <w:rPr>
          <w:rFonts w:hint="eastAsia" w:ascii="仿宋" w:hAnsi="仿宋" w:eastAsia="仿宋"/>
          <w:color w:val="auto"/>
          <w:sz w:val="30"/>
          <w:szCs w:val="30"/>
        </w:rPr>
        <w:t>法定代表人：</w:t>
      </w:r>
    </w:p>
    <w:p w14:paraId="14C40AB4">
      <w:pPr>
        <w:keepNext w:val="0"/>
        <w:keepLines w:val="0"/>
        <w:pageBreakBefore w:val="0"/>
        <w:kinsoku/>
        <w:wordWrap/>
        <w:overflowPunct/>
        <w:topLinePunct w:val="0"/>
        <w:bidi w:val="0"/>
        <w:adjustRightInd w:val="0"/>
        <w:snapToGrid w:val="0"/>
        <w:spacing w:line="480" w:lineRule="exact"/>
        <w:ind w:firstLine="600" w:firstLineChars="200"/>
        <w:textAlignment w:val="auto"/>
        <w:rPr>
          <w:rFonts w:hint="eastAsia" w:ascii="仿宋" w:hAnsi="仿宋" w:eastAsia="仿宋"/>
          <w:color w:val="auto"/>
          <w:sz w:val="30"/>
          <w:szCs w:val="30"/>
        </w:rPr>
      </w:pPr>
      <w:r>
        <w:rPr>
          <w:rFonts w:hint="eastAsia" w:ascii="仿宋" w:hAnsi="仿宋" w:eastAsia="仿宋"/>
          <w:color w:val="auto"/>
          <w:sz w:val="30"/>
          <w:szCs w:val="30"/>
        </w:rPr>
        <w:t>联系电话：</w:t>
      </w:r>
    </w:p>
    <w:p w14:paraId="0907CD02">
      <w:pPr>
        <w:keepNext w:val="0"/>
        <w:keepLines w:val="0"/>
        <w:pageBreakBefore w:val="0"/>
        <w:kinsoku/>
        <w:wordWrap/>
        <w:overflowPunct/>
        <w:topLinePunct w:val="0"/>
        <w:bidi w:val="0"/>
        <w:adjustRightInd w:val="0"/>
        <w:snapToGrid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通讯地址：</w:t>
      </w:r>
    </w:p>
    <w:p w14:paraId="2EFB1CD4">
      <w:pPr>
        <w:keepNext w:val="0"/>
        <w:keepLines w:val="0"/>
        <w:pageBreakBefore w:val="0"/>
        <w:kinsoku/>
        <w:wordWrap/>
        <w:overflowPunct/>
        <w:topLinePunct w:val="0"/>
        <w:bidi w:val="0"/>
        <w:spacing w:line="480" w:lineRule="exact"/>
        <w:textAlignment w:val="auto"/>
        <w:rPr>
          <w:rFonts w:ascii="仿宋" w:hAnsi="仿宋" w:eastAsia="仿宋"/>
          <w:color w:val="auto"/>
          <w:sz w:val="30"/>
          <w:szCs w:val="30"/>
        </w:rPr>
      </w:pPr>
    </w:p>
    <w:p w14:paraId="5EFF5864">
      <w:pPr>
        <w:keepNext w:val="0"/>
        <w:keepLines w:val="0"/>
        <w:pageBreakBefore w:val="0"/>
        <w:widowControl/>
        <w:kinsoku/>
        <w:wordWrap/>
        <w:overflowPunct/>
        <w:topLinePunct w:val="0"/>
        <w:bidi w:val="0"/>
        <w:snapToGrid w:val="0"/>
        <w:spacing w:line="480" w:lineRule="exact"/>
        <w:ind w:firstLine="480"/>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rPr>
        <w:t xml:space="preserve">  甲、乙双方根据《中华人民共和国</w:t>
      </w:r>
      <w:r>
        <w:rPr>
          <w:rFonts w:hint="eastAsia" w:ascii="仿宋" w:hAnsi="仿宋" w:eastAsia="仿宋" w:cs="仿宋"/>
          <w:color w:val="auto"/>
          <w:sz w:val="32"/>
          <w:szCs w:val="32"/>
        </w:rPr>
        <w:t>民法典</w:t>
      </w:r>
      <w:r>
        <w:rPr>
          <w:rFonts w:hint="eastAsia" w:ascii="仿宋" w:hAnsi="仿宋" w:eastAsia="仿宋"/>
          <w:color w:val="auto"/>
          <w:kern w:val="0"/>
          <w:sz w:val="30"/>
          <w:szCs w:val="30"/>
        </w:rPr>
        <w:t>》、《中华人民共和国消防法》、《广西建筑消防设施维修内容及保养细则》及地方有关建筑消防设施、设备维护保养的技术规范及标准，就</w:t>
      </w:r>
      <w:r>
        <w:rPr>
          <w:rFonts w:hint="eastAsia" w:ascii="仿宋" w:hAnsi="仿宋" w:eastAsia="仿宋"/>
          <w:color w:val="auto"/>
          <w:kern w:val="0"/>
          <w:sz w:val="30"/>
          <w:szCs w:val="30"/>
          <w:u w:val="single"/>
          <w:lang w:val="en-US" w:eastAsia="zh-CN"/>
        </w:rPr>
        <w:t>中马钦州产业园区启动区</w:t>
      </w:r>
      <w:r>
        <w:rPr>
          <w:rFonts w:hint="eastAsia" w:ascii="仿宋" w:hAnsi="仿宋" w:eastAsia="仿宋"/>
          <w:color w:val="auto"/>
          <w:kern w:val="0"/>
          <w:sz w:val="30"/>
          <w:szCs w:val="30"/>
          <w:u w:val="single"/>
        </w:rPr>
        <w:t>中马广场（除</w:t>
      </w:r>
      <w:r>
        <w:rPr>
          <w:rFonts w:ascii="仿宋" w:hAnsi="仿宋" w:eastAsia="仿宋"/>
          <w:color w:val="auto"/>
          <w:kern w:val="0"/>
          <w:sz w:val="30"/>
          <w:szCs w:val="30"/>
          <w:u w:val="single"/>
        </w:rPr>
        <w:t>3#</w:t>
      </w:r>
      <w:r>
        <w:rPr>
          <w:rFonts w:hint="eastAsia" w:ascii="仿宋" w:hAnsi="仿宋" w:eastAsia="仿宋"/>
          <w:color w:val="auto"/>
          <w:kern w:val="0"/>
          <w:sz w:val="30"/>
          <w:szCs w:val="30"/>
          <w:u w:val="single"/>
        </w:rPr>
        <w:t>酒店）项目202</w:t>
      </w:r>
      <w:r>
        <w:rPr>
          <w:rFonts w:hint="eastAsia" w:ascii="仿宋" w:hAnsi="仿宋" w:eastAsia="仿宋"/>
          <w:color w:val="auto"/>
          <w:kern w:val="0"/>
          <w:sz w:val="30"/>
          <w:szCs w:val="30"/>
          <w:u w:val="single"/>
          <w:lang w:val="en-US" w:eastAsia="zh-CN"/>
        </w:rPr>
        <w:t>5</w:t>
      </w:r>
      <w:r>
        <w:rPr>
          <w:rFonts w:hint="eastAsia" w:ascii="仿宋" w:hAnsi="仿宋" w:eastAsia="仿宋"/>
          <w:color w:val="auto"/>
          <w:kern w:val="0"/>
          <w:sz w:val="30"/>
          <w:szCs w:val="30"/>
          <w:u w:val="single"/>
        </w:rPr>
        <w:t>-202</w:t>
      </w:r>
      <w:r>
        <w:rPr>
          <w:rFonts w:hint="eastAsia" w:ascii="仿宋" w:hAnsi="仿宋" w:eastAsia="仿宋"/>
          <w:color w:val="auto"/>
          <w:kern w:val="0"/>
          <w:sz w:val="30"/>
          <w:szCs w:val="30"/>
          <w:u w:val="single"/>
          <w:lang w:val="en-US" w:eastAsia="zh-CN"/>
        </w:rPr>
        <w:t>6</w:t>
      </w:r>
      <w:r>
        <w:rPr>
          <w:rFonts w:hint="eastAsia" w:ascii="仿宋" w:hAnsi="仿宋" w:eastAsia="仿宋"/>
          <w:color w:val="auto"/>
          <w:kern w:val="0"/>
          <w:sz w:val="30"/>
          <w:szCs w:val="30"/>
          <w:u w:val="single"/>
        </w:rPr>
        <w:t xml:space="preserve">年消防维保合同 </w:t>
      </w:r>
      <w:r>
        <w:rPr>
          <w:rFonts w:hint="eastAsia" w:ascii="仿宋" w:hAnsi="仿宋" w:eastAsia="仿宋"/>
          <w:color w:val="auto"/>
          <w:kern w:val="0"/>
          <w:sz w:val="30"/>
          <w:szCs w:val="30"/>
        </w:rPr>
        <w:t>等相关事宜，本着平等、自愿、互利的原则，经友好协商，订立本合同。</w:t>
      </w:r>
    </w:p>
    <w:p w14:paraId="5FF24BB8">
      <w:pPr>
        <w:keepNext w:val="0"/>
        <w:keepLines w:val="0"/>
        <w:pageBreakBefore w:val="0"/>
        <w:widowControl/>
        <w:tabs>
          <w:tab w:val="left" w:pos="851"/>
          <w:tab w:val="left" w:pos="1702"/>
        </w:tabs>
        <w:kinsoku/>
        <w:wordWrap/>
        <w:overflowPunct/>
        <w:topLinePunct w:val="0"/>
        <w:bidi w:val="0"/>
        <w:spacing w:before="156" w:line="480" w:lineRule="exact"/>
        <w:ind w:firstLine="602" w:firstLineChars="200"/>
        <w:jc w:val="left"/>
        <w:textAlignment w:val="auto"/>
        <w:outlineLvl w:val="0"/>
        <w:rPr>
          <w:rFonts w:ascii="仿宋" w:hAnsi="仿宋" w:eastAsia="仿宋"/>
          <w:color w:val="auto"/>
          <w:sz w:val="30"/>
          <w:szCs w:val="30"/>
        </w:rPr>
      </w:pPr>
      <w:bookmarkStart w:id="0" w:name="_Toc6501"/>
      <w:r>
        <w:rPr>
          <w:rFonts w:hint="eastAsia" w:ascii="仿宋" w:hAnsi="仿宋" w:eastAsia="仿宋"/>
          <w:b/>
          <w:color w:val="auto"/>
          <w:sz w:val="30"/>
          <w:szCs w:val="30"/>
        </w:rPr>
        <w:t>第一条维保服务概况</w:t>
      </w:r>
      <w:bookmarkEnd w:id="0"/>
    </w:p>
    <w:p w14:paraId="7705A7D1">
      <w:pPr>
        <w:keepNext w:val="0"/>
        <w:keepLines w:val="0"/>
        <w:pageBreakBefore w:val="0"/>
        <w:widowControl/>
        <w:numPr>
          <w:ilvl w:val="0"/>
          <w:numId w:val="1"/>
        </w:numPr>
        <w:kinsoku/>
        <w:wordWrap/>
        <w:overflowPunct/>
        <w:topLinePunct w:val="0"/>
        <w:bidi w:val="0"/>
        <w:snapToGrid w:val="0"/>
        <w:spacing w:line="480" w:lineRule="exact"/>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rPr>
        <w:t>服务名称：</w:t>
      </w:r>
      <w:r>
        <w:rPr>
          <w:rFonts w:hint="eastAsia" w:ascii="仿宋" w:hAnsi="仿宋" w:eastAsia="仿宋"/>
          <w:color w:val="auto"/>
          <w:kern w:val="0"/>
          <w:sz w:val="30"/>
          <w:szCs w:val="30"/>
          <w:u w:val="single"/>
          <w:lang w:val="en-US" w:eastAsia="zh-CN"/>
        </w:rPr>
        <w:t>中马钦州产业园区启动区</w:t>
      </w:r>
      <w:r>
        <w:rPr>
          <w:rFonts w:hint="eastAsia" w:ascii="仿宋" w:hAnsi="仿宋" w:eastAsia="仿宋"/>
          <w:color w:val="auto"/>
          <w:kern w:val="0"/>
          <w:sz w:val="30"/>
          <w:szCs w:val="30"/>
          <w:u w:val="single"/>
        </w:rPr>
        <w:t>中马广场（除</w:t>
      </w:r>
      <w:r>
        <w:rPr>
          <w:rFonts w:ascii="仿宋" w:hAnsi="仿宋" w:eastAsia="仿宋"/>
          <w:color w:val="auto"/>
          <w:kern w:val="0"/>
          <w:sz w:val="30"/>
          <w:szCs w:val="30"/>
          <w:u w:val="single"/>
        </w:rPr>
        <w:t>3#</w:t>
      </w:r>
      <w:r>
        <w:rPr>
          <w:rFonts w:hint="eastAsia" w:ascii="仿宋" w:hAnsi="仿宋" w:eastAsia="仿宋"/>
          <w:color w:val="auto"/>
          <w:kern w:val="0"/>
          <w:sz w:val="30"/>
          <w:szCs w:val="30"/>
          <w:u w:val="single"/>
        </w:rPr>
        <w:t>酒店）项目</w:t>
      </w:r>
      <w:r>
        <w:rPr>
          <w:rFonts w:hint="eastAsia" w:ascii="仿宋" w:hAnsi="仿宋" w:eastAsia="仿宋"/>
          <w:color w:val="auto"/>
          <w:kern w:val="0"/>
          <w:sz w:val="30"/>
          <w:szCs w:val="30"/>
        </w:rPr>
        <w:t>消防设施设备维保工程。</w:t>
      </w:r>
    </w:p>
    <w:p w14:paraId="0B4EA6EB">
      <w:pPr>
        <w:keepNext w:val="0"/>
        <w:keepLines w:val="0"/>
        <w:pageBreakBefore w:val="0"/>
        <w:widowControl/>
        <w:numPr>
          <w:ilvl w:val="0"/>
          <w:numId w:val="0"/>
        </w:numPr>
        <w:kinsoku/>
        <w:wordWrap/>
        <w:overflowPunct/>
        <w:topLinePunct w:val="0"/>
        <w:bidi w:val="0"/>
        <w:snapToGrid w:val="0"/>
        <w:spacing w:line="480" w:lineRule="exact"/>
        <w:ind w:firstLine="600" w:firstLineChars="200"/>
        <w:jc w:val="left"/>
        <w:textAlignment w:val="auto"/>
        <w:rPr>
          <w:rFonts w:hint="eastAsia" w:ascii="仿宋" w:hAnsi="仿宋" w:eastAsia="仿宋"/>
          <w:color w:val="auto"/>
          <w:kern w:val="0"/>
          <w:sz w:val="30"/>
          <w:szCs w:val="30"/>
          <w:highlight w:val="none"/>
          <w:lang w:eastAsia="zh-CN"/>
        </w:rPr>
      </w:pPr>
      <w:r>
        <w:rPr>
          <w:rFonts w:hint="eastAsia" w:ascii="仿宋" w:hAnsi="仿宋" w:eastAsia="仿宋"/>
          <w:color w:val="auto"/>
          <w:kern w:val="0"/>
          <w:sz w:val="30"/>
          <w:szCs w:val="30"/>
          <w:highlight w:val="none"/>
          <w:lang w:val="en-US" w:eastAsia="zh-CN"/>
        </w:rPr>
        <w:t>1.</w:t>
      </w:r>
      <w:r>
        <w:rPr>
          <w:rFonts w:hint="eastAsia" w:ascii="仿宋" w:hAnsi="仿宋" w:eastAsia="仿宋"/>
          <w:color w:val="auto"/>
          <w:kern w:val="0"/>
          <w:sz w:val="30"/>
          <w:szCs w:val="30"/>
          <w:highlight w:val="none"/>
          <w:lang w:eastAsia="zh-CN"/>
        </w:rPr>
        <w:t>中马广场二期 1#住宅楼、一期 2#住宅楼、一期 5#写字楼、一期6#-A商业、二期 6#-C商业，本次消防维保以半包形式，含</w:t>
      </w:r>
      <w:r>
        <w:rPr>
          <w:rFonts w:hint="eastAsia" w:ascii="仿宋" w:hAnsi="仿宋" w:eastAsia="仿宋"/>
          <w:color w:val="auto"/>
          <w:kern w:val="0"/>
          <w:sz w:val="30"/>
          <w:szCs w:val="30"/>
          <w:highlight w:val="none"/>
          <w:lang w:val="en-US" w:eastAsia="zh-CN"/>
        </w:rPr>
        <w:t>消防管网防腐防锈处理及</w:t>
      </w:r>
      <w:r>
        <w:rPr>
          <w:rFonts w:hint="eastAsia" w:ascii="仿宋" w:hAnsi="仿宋" w:eastAsia="仿宋"/>
          <w:color w:val="auto"/>
          <w:kern w:val="0"/>
          <w:sz w:val="30"/>
          <w:szCs w:val="30"/>
          <w:highlight w:val="none"/>
          <w:lang w:eastAsia="zh-CN"/>
        </w:rPr>
        <w:t>单价 200 元以内的常用零备件（</w:t>
      </w:r>
      <w:r>
        <w:rPr>
          <w:rFonts w:hint="eastAsia" w:ascii="仿宋" w:hAnsi="仿宋" w:eastAsia="仿宋"/>
          <w:color w:val="auto"/>
          <w:kern w:val="0"/>
          <w:sz w:val="30"/>
          <w:szCs w:val="30"/>
          <w:highlight w:val="none"/>
          <w:lang w:val="en-US" w:eastAsia="zh-CN"/>
        </w:rPr>
        <w:t>详见附件四</w:t>
      </w:r>
      <w:r>
        <w:rPr>
          <w:rFonts w:hint="eastAsia" w:ascii="仿宋" w:hAnsi="仿宋" w:eastAsia="仿宋"/>
          <w:color w:val="auto"/>
          <w:kern w:val="0"/>
          <w:sz w:val="30"/>
          <w:szCs w:val="30"/>
          <w:highlight w:val="none"/>
          <w:lang w:eastAsia="zh-CN"/>
        </w:rPr>
        <w:t>）。</w:t>
      </w:r>
    </w:p>
    <w:p w14:paraId="1F01B764">
      <w:pPr>
        <w:keepNext w:val="0"/>
        <w:keepLines w:val="0"/>
        <w:pageBreakBefore w:val="0"/>
        <w:widowControl/>
        <w:numPr>
          <w:ilvl w:val="0"/>
          <w:numId w:val="0"/>
        </w:numPr>
        <w:kinsoku/>
        <w:wordWrap/>
        <w:overflowPunct/>
        <w:topLinePunct w:val="0"/>
        <w:bidi w:val="0"/>
        <w:snapToGrid w:val="0"/>
        <w:spacing w:line="480" w:lineRule="exact"/>
        <w:ind w:firstLine="600" w:firstLineChars="200"/>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highlight w:val="none"/>
          <w:lang w:val="en-US" w:eastAsia="zh-CN"/>
        </w:rPr>
        <w:t>2.</w:t>
      </w:r>
      <w:r>
        <w:rPr>
          <w:rFonts w:hint="eastAsia" w:ascii="仿宋" w:hAnsi="仿宋" w:eastAsia="仿宋"/>
          <w:color w:val="auto"/>
          <w:kern w:val="0"/>
          <w:sz w:val="30"/>
          <w:szCs w:val="30"/>
          <w:highlight w:val="none"/>
          <w:lang w:eastAsia="zh-CN"/>
        </w:rPr>
        <w:t>中马广场二期 4#写字楼、二期 6#-B商业、二期地下室，本次消防维保以清包形式，含</w:t>
      </w:r>
      <w:r>
        <w:rPr>
          <w:rFonts w:hint="eastAsia" w:ascii="仿宋" w:hAnsi="仿宋" w:eastAsia="仿宋"/>
          <w:color w:val="auto"/>
          <w:kern w:val="0"/>
          <w:sz w:val="30"/>
          <w:szCs w:val="30"/>
          <w:highlight w:val="none"/>
          <w:lang w:val="en-US" w:eastAsia="zh-CN"/>
        </w:rPr>
        <w:t>消防管网防腐防锈处理，</w:t>
      </w:r>
      <w:r>
        <w:rPr>
          <w:rFonts w:hint="eastAsia" w:ascii="仿宋" w:hAnsi="仿宋" w:eastAsia="仿宋"/>
          <w:color w:val="auto"/>
          <w:kern w:val="0"/>
          <w:sz w:val="30"/>
          <w:szCs w:val="30"/>
          <w:highlight w:val="none"/>
          <w:lang w:eastAsia="zh-CN"/>
        </w:rPr>
        <w:t>不含任何零备件材料更换。</w:t>
      </w:r>
    </w:p>
    <w:p w14:paraId="14D7E7CD">
      <w:pPr>
        <w:keepNext w:val="0"/>
        <w:keepLines w:val="0"/>
        <w:pageBreakBefore w:val="0"/>
        <w:widowControl/>
        <w:numPr>
          <w:ilvl w:val="0"/>
          <w:numId w:val="0"/>
        </w:numPr>
        <w:kinsoku/>
        <w:wordWrap/>
        <w:overflowPunct/>
        <w:topLinePunct w:val="0"/>
        <w:bidi w:val="0"/>
        <w:snapToGrid w:val="0"/>
        <w:spacing w:line="480" w:lineRule="exact"/>
        <w:ind w:firstLine="600" w:firstLineChars="200"/>
        <w:jc w:val="left"/>
        <w:textAlignment w:val="auto"/>
        <w:rPr>
          <w:rFonts w:ascii="仿宋" w:hAnsi="仿宋" w:eastAsia="仿宋"/>
          <w:color w:val="auto"/>
          <w:kern w:val="0"/>
          <w:sz w:val="30"/>
          <w:szCs w:val="30"/>
          <w:u w:val="single"/>
        </w:rPr>
      </w:pPr>
      <w:r>
        <w:rPr>
          <w:rFonts w:hint="eastAsia" w:ascii="仿宋" w:hAnsi="仿宋" w:eastAsia="仿宋"/>
          <w:color w:val="auto"/>
          <w:kern w:val="0"/>
          <w:sz w:val="30"/>
          <w:szCs w:val="30"/>
          <w:lang w:eastAsia="zh-CN"/>
        </w:rPr>
        <w:t>（</w:t>
      </w:r>
      <w:r>
        <w:rPr>
          <w:rFonts w:hint="eastAsia" w:ascii="仿宋" w:hAnsi="仿宋" w:eastAsia="仿宋"/>
          <w:color w:val="auto"/>
          <w:kern w:val="0"/>
          <w:sz w:val="30"/>
          <w:szCs w:val="30"/>
          <w:lang w:val="en-US" w:eastAsia="zh-CN"/>
        </w:rPr>
        <w:t>二</w:t>
      </w:r>
      <w:r>
        <w:rPr>
          <w:rFonts w:hint="eastAsia" w:ascii="仿宋" w:hAnsi="仿宋" w:eastAsia="仿宋"/>
          <w:color w:val="auto"/>
          <w:kern w:val="0"/>
          <w:sz w:val="30"/>
          <w:szCs w:val="30"/>
          <w:lang w:eastAsia="zh-CN"/>
        </w:rPr>
        <w:t>）</w:t>
      </w:r>
      <w:r>
        <w:rPr>
          <w:rFonts w:hint="eastAsia" w:ascii="仿宋" w:hAnsi="仿宋" w:eastAsia="仿宋"/>
          <w:color w:val="auto"/>
          <w:kern w:val="0"/>
          <w:sz w:val="30"/>
          <w:szCs w:val="30"/>
        </w:rPr>
        <w:t>服务地址：广西钦州市中马产业园区。</w:t>
      </w:r>
    </w:p>
    <w:p w14:paraId="6DEE6C4D">
      <w:pPr>
        <w:keepNext w:val="0"/>
        <w:keepLines w:val="0"/>
        <w:pageBreakBefore w:val="0"/>
        <w:kinsoku/>
        <w:wordWrap/>
        <w:overflowPunct/>
        <w:topLinePunct w:val="0"/>
        <w:bidi w:val="0"/>
        <w:snapToGrid w:val="0"/>
        <w:spacing w:line="480" w:lineRule="exact"/>
        <w:ind w:firstLine="600" w:firstLineChars="200"/>
        <w:jc w:val="left"/>
        <w:textAlignment w:val="auto"/>
        <w:rPr>
          <w:rFonts w:ascii="仿宋" w:hAnsi="仿宋" w:eastAsia="仿宋"/>
          <w:color w:val="auto"/>
          <w:sz w:val="30"/>
          <w:szCs w:val="30"/>
        </w:rPr>
      </w:pPr>
      <w:r>
        <w:rPr>
          <w:rFonts w:hint="eastAsia" w:ascii="仿宋" w:hAnsi="仿宋" w:eastAsia="仿宋"/>
          <w:color w:val="auto"/>
          <w:sz w:val="30"/>
          <w:szCs w:val="30"/>
        </w:rPr>
        <w:t>（三）建筑面积：共计</w:t>
      </w:r>
      <w:r>
        <w:rPr>
          <w:rFonts w:hint="eastAsia" w:ascii="仿宋" w:hAnsi="仿宋" w:eastAsia="仿宋"/>
          <w:color w:val="auto"/>
          <w:sz w:val="30"/>
          <w:szCs w:val="30"/>
          <w:lang w:val="en-US" w:eastAsia="zh-CN"/>
        </w:rPr>
        <w:t>159003</w:t>
      </w:r>
      <w:r>
        <w:rPr>
          <w:rFonts w:hint="eastAsia" w:ascii="仿宋" w:hAnsi="仿宋" w:eastAsia="仿宋"/>
          <w:color w:val="auto"/>
          <w:sz w:val="30"/>
          <w:szCs w:val="30"/>
        </w:rPr>
        <w:t>㎡。</w:t>
      </w:r>
    </w:p>
    <w:p w14:paraId="643EC9C5">
      <w:pPr>
        <w:keepNext w:val="0"/>
        <w:keepLines w:val="0"/>
        <w:pageBreakBefore w:val="0"/>
        <w:widowControl/>
        <w:kinsoku/>
        <w:wordWrap/>
        <w:overflowPunct/>
        <w:topLinePunct w:val="0"/>
        <w:bidi w:val="0"/>
        <w:snapToGrid w:val="0"/>
        <w:spacing w:line="480" w:lineRule="exact"/>
        <w:ind w:firstLine="600" w:firstLineChars="200"/>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rPr>
        <w:t>（四）主机型号：北大青鸟</w:t>
      </w:r>
    </w:p>
    <w:p w14:paraId="7DFB463A">
      <w:pPr>
        <w:keepNext w:val="0"/>
        <w:keepLines w:val="0"/>
        <w:pageBreakBefore w:val="0"/>
        <w:widowControl/>
        <w:tabs>
          <w:tab w:val="left" w:pos="851"/>
          <w:tab w:val="left" w:pos="1702"/>
        </w:tabs>
        <w:kinsoku/>
        <w:wordWrap/>
        <w:overflowPunct/>
        <w:topLinePunct w:val="0"/>
        <w:bidi w:val="0"/>
        <w:spacing w:before="156" w:line="480" w:lineRule="exact"/>
        <w:ind w:firstLine="602" w:firstLineChars="200"/>
        <w:jc w:val="left"/>
        <w:textAlignment w:val="auto"/>
        <w:outlineLvl w:val="0"/>
        <w:rPr>
          <w:rFonts w:ascii="仿宋" w:hAnsi="仿宋" w:eastAsia="仿宋"/>
          <w:b/>
          <w:color w:val="auto"/>
          <w:sz w:val="30"/>
          <w:szCs w:val="30"/>
        </w:rPr>
      </w:pPr>
      <w:bookmarkStart w:id="1" w:name="_Toc5864"/>
      <w:r>
        <w:rPr>
          <w:rFonts w:hint="eastAsia" w:ascii="仿宋" w:hAnsi="仿宋" w:eastAsia="仿宋"/>
          <w:b/>
          <w:color w:val="auto"/>
          <w:sz w:val="30"/>
          <w:szCs w:val="30"/>
        </w:rPr>
        <w:t>第二条合同</w:t>
      </w:r>
      <w:bookmarkEnd w:id="1"/>
      <w:r>
        <w:rPr>
          <w:rFonts w:hint="eastAsia" w:ascii="仿宋" w:hAnsi="仿宋" w:eastAsia="仿宋"/>
          <w:color w:val="auto"/>
          <w:kern w:val="0"/>
          <w:sz w:val="30"/>
          <w:szCs w:val="30"/>
        </w:rPr>
        <w:t>联系人</w:t>
      </w:r>
    </w:p>
    <w:p w14:paraId="3590253C">
      <w:pPr>
        <w:keepNext w:val="0"/>
        <w:keepLines w:val="0"/>
        <w:pageBreakBefore w:val="0"/>
        <w:widowControl/>
        <w:tabs>
          <w:tab w:val="left" w:pos="851"/>
          <w:tab w:val="left" w:pos="1702"/>
        </w:tabs>
        <w:kinsoku/>
        <w:wordWrap/>
        <w:overflowPunct/>
        <w:topLinePunct w:val="0"/>
        <w:autoSpaceDE/>
        <w:autoSpaceDN/>
        <w:bidi w:val="0"/>
        <w:adjustRightInd/>
        <w:snapToGrid/>
        <w:spacing w:line="480" w:lineRule="exact"/>
        <w:ind w:firstLine="600" w:firstLineChars="200"/>
        <w:jc w:val="left"/>
        <w:textAlignment w:val="auto"/>
        <w:outlineLvl w:val="0"/>
        <w:rPr>
          <w:rFonts w:ascii="仿宋" w:hAnsi="仿宋" w:eastAsia="仿宋"/>
          <w:color w:val="auto"/>
          <w:kern w:val="0"/>
          <w:sz w:val="30"/>
          <w:szCs w:val="30"/>
        </w:rPr>
      </w:pPr>
      <w:r>
        <w:rPr>
          <w:rFonts w:hint="eastAsia" w:ascii="仿宋" w:hAnsi="仿宋" w:eastAsia="仿宋"/>
          <w:color w:val="auto"/>
          <w:kern w:val="0"/>
          <w:sz w:val="30"/>
          <w:szCs w:val="30"/>
        </w:rPr>
        <w:t>（一）甲方指定</w:t>
      </w:r>
      <w:r>
        <w:rPr>
          <w:rFonts w:hint="eastAsia" w:ascii="仿宋" w:hAnsi="仿宋" w:eastAsia="仿宋"/>
          <w:color w:val="auto"/>
          <w:kern w:val="0"/>
          <w:sz w:val="30"/>
          <w:szCs w:val="30"/>
          <w:u w:val="single"/>
          <w:lang w:val="en-US" w:eastAsia="zh-CN"/>
        </w:rPr>
        <w:t xml:space="preserve">      </w:t>
      </w:r>
      <w:r>
        <w:rPr>
          <w:rFonts w:hint="eastAsia" w:ascii="仿宋" w:hAnsi="仿宋" w:eastAsia="仿宋"/>
          <w:color w:val="auto"/>
          <w:kern w:val="0"/>
          <w:sz w:val="30"/>
          <w:szCs w:val="30"/>
        </w:rPr>
        <w:t>（电话：</w:t>
      </w:r>
      <w:r>
        <w:rPr>
          <w:rFonts w:hint="eastAsia" w:ascii="仿宋" w:hAnsi="仿宋" w:eastAsia="仿宋"/>
          <w:color w:val="auto"/>
          <w:sz w:val="30"/>
          <w:szCs w:val="30"/>
          <w:u w:val="single"/>
          <w:lang w:val="en-US" w:eastAsia="zh-CN"/>
        </w:rPr>
        <w:t xml:space="preserve">    </w:t>
      </w:r>
      <w:r>
        <w:rPr>
          <w:rFonts w:hint="eastAsia" w:ascii="仿宋" w:hAnsi="仿宋" w:eastAsia="仿宋"/>
          <w:color w:val="auto"/>
          <w:kern w:val="0"/>
          <w:sz w:val="30"/>
          <w:szCs w:val="30"/>
        </w:rPr>
        <w:t>，邮箱：</w:t>
      </w:r>
      <w:r>
        <w:rPr>
          <w:rFonts w:hint="eastAsia" w:ascii="仿宋" w:hAnsi="仿宋" w:eastAsia="仿宋"/>
          <w:color w:val="auto"/>
          <w:kern w:val="0"/>
          <w:sz w:val="30"/>
          <w:szCs w:val="30"/>
          <w:u w:val="single"/>
        </w:rPr>
        <w:t xml:space="preserve"> </w:t>
      </w:r>
      <w:r>
        <w:rPr>
          <w:rFonts w:hint="eastAsia" w:ascii="仿宋" w:hAnsi="仿宋" w:eastAsia="仿宋"/>
          <w:color w:val="auto"/>
          <w:kern w:val="0"/>
          <w:sz w:val="30"/>
          <w:szCs w:val="30"/>
          <w:u w:val="single"/>
          <w:lang w:val="en-US" w:eastAsia="zh-CN"/>
        </w:rPr>
        <w:t xml:space="preserve">   </w:t>
      </w:r>
      <w:r>
        <w:rPr>
          <w:rFonts w:hint="eastAsia" w:ascii="仿宋" w:hAnsi="仿宋" w:eastAsia="仿宋"/>
          <w:color w:val="auto"/>
          <w:kern w:val="0"/>
          <w:sz w:val="30"/>
          <w:szCs w:val="30"/>
        </w:rPr>
        <w:t>，邮寄地址：</w:t>
      </w:r>
      <w:r>
        <w:rPr>
          <w:rFonts w:hint="eastAsia" w:ascii="仿宋" w:hAnsi="仿宋" w:eastAsia="仿宋"/>
          <w:color w:val="auto"/>
          <w:kern w:val="0"/>
          <w:sz w:val="30"/>
          <w:szCs w:val="30"/>
          <w:u w:val="single"/>
          <w:lang w:val="en-US" w:eastAsia="zh-CN"/>
        </w:rPr>
        <w:t xml:space="preserve">      </w:t>
      </w:r>
      <w:r>
        <w:rPr>
          <w:rFonts w:hint="eastAsia" w:ascii="仿宋" w:hAnsi="仿宋" w:eastAsia="仿宋"/>
          <w:color w:val="auto"/>
          <w:kern w:val="0"/>
          <w:sz w:val="30"/>
          <w:szCs w:val="30"/>
        </w:rPr>
        <w:t>）为本合同的履约联系人，其依据甲方本合同权力义务而签署的相关文件均具有法律效力。</w:t>
      </w:r>
    </w:p>
    <w:p w14:paraId="03F7FCAE">
      <w:pPr>
        <w:keepNext w:val="0"/>
        <w:keepLines w:val="0"/>
        <w:pageBreakBefore w:val="0"/>
        <w:widowControl/>
        <w:kinsoku/>
        <w:wordWrap/>
        <w:overflowPunct/>
        <w:topLinePunct w:val="0"/>
        <w:bidi w:val="0"/>
        <w:snapToGrid w:val="0"/>
        <w:spacing w:line="480" w:lineRule="exact"/>
        <w:ind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（二）乙方指定</w:t>
      </w:r>
      <w:r>
        <w:rPr>
          <w:rFonts w:hint="eastAsia" w:ascii="仿宋" w:hAnsi="仿宋" w:eastAsia="仿宋"/>
          <w:color w:val="auto"/>
          <w:kern w:val="0"/>
          <w:sz w:val="30"/>
          <w:szCs w:val="30"/>
          <w:u w:val="single"/>
          <w:lang w:val="en-US" w:eastAsia="zh-CN"/>
        </w:rPr>
        <w:t xml:space="preserve">    </w:t>
      </w:r>
      <w:r>
        <w:rPr>
          <w:rFonts w:hint="eastAsia" w:ascii="仿宋" w:hAnsi="仿宋" w:eastAsia="仿宋"/>
          <w:color w:val="auto"/>
          <w:kern w:val="0"/>
          <w:sz w:val="30"/>
          <w:szCs w:val="30"/>
        </w:rPr>
        <w:t>（电话：</w:t>
      </w:r>
      <w:r>
        <w:rPr>
          <w:rFonts w:hint="eastAsia" w:ascii="仿宋" w:hAnsi="仿宋" w:eastAsia="仿宋"/>
          <w:color w:val="auto"/>
          <w:kern w:val="0"/>
          <w:sz w:val="30"/>
          <w:szCs w:val="30"/>
          <w:u w:val="single"/>
          <w:lang w:val="en-US" w:eastAsia="zh-CN"/>
        </w:rPr>
        <w:t xml:space="preserve">    </w:t>
      </w:r>
      <w:r>
        <w:rPr>
          <w:rFonts w:hint="eastAsia" w:ascii="仿宋" w:hAnsi="仿宋" w:eastAsia="仿宋"/>
          <w:color w:val="auto"/>
          <w:kern w:val="0"/>
          <w:sz w:val="30"/>
          <w:szCs w:val="30"/>
        </w:rPr>
        <w:t>，邮箱</w:t>
      </w:r>
      <w:r>
        <w:rPr>
          <w:rFonts w:hint="eastAsia" w:ascii="仿宋" w:hAnsi="仿宋" w:eastAsia="仿宋"/>
          <w:color w:val="auto"/>
          <w:kern w:val="0"/>
          <w:sz w:val="30"/>
          <w:szCs w:val="30"/>
          <w:u w:val="single"/>
          <w:lang w:val="en-US" w:eastAsia="zh-CN"/>
        </w:rPr>
        <w:t xml:space="preserve">    </w:t>
      </w:r>
      <w:r>
        <w:rPr>
          <w:rFonts w:hint="eastAsia" w:ascii="仿宋" w:hAnsi="仿宋" w:eastAsia="仿宋"/>
          <w:color w:val="auto"/>
          <w:kern w:val="0"/>
          <w:sz w:val="30"/>
          <w:szCs w:val="30"/>
        </w:rPr>
        <w:t>，邮寄地址：</w:t>
      </w:r>
      <w:r>
        <w:rPr>
          <w:rFonts w:hint="eastAsia" w:ascii="仿宋" w:hAnsi="仿宋" w:eastAsia="仿宋"/>
          <w:color w:val="auto"/>
          <w:kern w:val="0"/>
          <w:sz w:val="30"/>
          <w:szCs w:val="30"/>
          <w:u w:val="single"/>
          <w:lang w:val="en-US" w:eastAsia="zh-CN"/>
        </w:rPr>
        <w:t xml:space="preserve">     </w:t>
      </w:r>
      <w:r>
        <w:rPr>
          <w:rFonts w:hint="eastAsia" w:ascii="仿宋" w:hAnsi="仿宋" w:eastAsia="仿宋"/>
          <w:color w:val="auto"/>
          <w:kern w:val="0"/>
          <w:sz w:val="30"/>
          <w:szCs w:val="30"/>
        </w:rPr>
        <w:t>）为本合同的履约联系人，行使本合同相关事宜的权利和义务，其依据乙方本合同权力义务而签署的相关文件均具有法律效力。</w:t>
      </w:r>
    </w:p>
    <w:p w14:paraId="16249480">
      <w:pPr>
        <w:keepNext w:val="0"/>
        <w:keepLines w:val="0"/>
        <w:pageBreakBefore w:val="0"/>
        <w:widowControl/>
        <w:kinsoku/>
        <w:wordWrap/>
        <w:overflowPunct/>
        <w:topLinePunct w:val="0"/>
        <w:bidi w:val="0"/>
        <w:snapToGrid w:val="0"/>
        <w:spacing w:line="480" w:lineRule="exact"/>
        <w:ind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（三）若合同双方任意一方联系人有变更，须至少提前</w:t>
      </w:r>
      <w:r>
        <w:rPr>
          <w:rFonts w:hint="eastAsia" w:ascii="仿宋" w:hAnsi="仿宋" w:eastAsia="仿宋"/>
          <w:color w:val="auto"/>
          <w:kern w:val="0"/>
          <w:sz w:val="30"/>
          <w:szCs w:val="30"/>
          <w:u w:val="single"/>
        </w:rPr>
        <w:t xml:space="preserve"> 7 </w:t>
      </w:r>
      <w:r>
        <w:rPr>
          <w:rFonts w:hint="eastAsia" w:ascii="仿宋" w:hAnsi="仿宋" w:eastAsia="仿宋"/>
          <w:color w:val="auto"/>
          <w:kern w:val="0"/>
          <w:sz w:val="30"/>
          <w:szCs w:val="30"/>
        </w:rPr>
        <w:t>天书面函告合同相对方，如因怠于通知所造成的一切后果应自行承担。</w:t>
      </w:r>
    </w:p>
    <w:p w14:paraId="1476DC83">
      <w:pPr>
        <w:keepNext w:val="0"/>
        <w:keepLines w:val="0"/>
        <w:pageBreakBefore w:val="0"/>
        <w:widowControl/>
        <w:tabs>
          <w:tab w:val="left" w:pos="851"/>
          <w:tab w:val="left" w:pos="1702"/>
        </w:tabs>
        <w:kinsoku/>
        <w:wordWrap/>
        <w:overflowPunct/>
        <w:topLinePunct w:val="0"/>
        <w:bidi w:val="0"/>
        <w:spacing w:before="156" w:line="480" w:lineRule="exact"/>
        <w:ind w:firstLine="602" w:firstLineChars="200"/>
        <w:jc w:val="left"/>
        <w:textAlignment w:val="auto"/>
        <w:outlineLvl w:val="0"/>
        <w:rPr>
          <w:rFonts w:ascii="仿宋" w:hAnsi="仿宋" w:eastAsia="仿宋"/>
          <w:b/>
          <w:color w:val="auto"/>
          <w:sz w:val="30"/>
          <w:szCs w:val="30"/>
        </w:rPr>
      </w:pPr>
      <w:r>
        <w:rPr>
          <w:rFonts w:hint="eastAsia" w:ascii="仿宋" w:hAnsi="仿宋" w:eastAsia="仿宋"/>
          <w:b/>
          <w:color w:val="auto"/>
          <w:sz w:val="30"/>
          <w:szCs w:val="30"/>
        </w:rPr>
        <w:t>第三条</w:t>
      </w:r>
      <w:r>
        <w:rPr>
          <w:rFonts w:ascii="仿宋" w:hAnsi="仿宋" w:eastAsia="仿宋"/>
          <w:b/>
          <w:color w:val="auto"/>
          <w:sz w:val="30"/>
          <w:szCs w:val="30"/>
        </w:rPr>
        <w:t xml:space="preserve"> 合同期限</w:t>
      </w:r>
    </w:p>
    <w:p w14:paraId="604DD49C">
      <w:pPr>
        <w:keepNext w:val="0"/>
        <w:keepLines w:val="0"/>
        <w:pageBreakBefore w:val="0"/>
        <w:widowControl/>
        <w:tabs>
          <w:tab w:val="left" w:pos="851"/>
          <w:tab w:val="left" w:pos="1702"/>
        </w:tabs>
        <w:kinsoku/>
        <w:wordWrap/>
        <w:overflowPunct/>
        <w:topLinePunct w:val="0"/>
        <w:autoSpaceDE/>
        <w:autoSpaceDN/>
        <w:bidi w:val="0"/>
        <w:adjustRightInd/>
        <w:snapToGrid/>
        <w:spacing w:line="480" w:lineRule="exact"/>
        <w:ind w:firstLine="602" w:firstLineChars="200"/>
        <w:jc w:val="left"/>
        <w:textAlignment w:val="auto"/>
        <w:outlineLvl w:val="0"/>
        <w:rPr>
          <w:rFonts w:ascii="仿宋" w:hAnsi="仿宋" w:eastAsia="仿宋"/>
          <w:color w:val="auto"/>
          <w:kern w:val="0"/>
          <w:sz w:val="30"/>
          <w:szCs w:val="30"/>
        </w:rPr>
      </w:pPr>
      <w:r>
        <w:rPr>
          <w:rFonts w:hint="eastAsia" w:ascii="仿宋" w:hAnsi="仿宋" w:eastAsia="仿宋"/>
          <w:b/>
          <w:color w:val="auto"/>
          <w:sz w:val="30"/>
          <w:szCs w:val="30"/>
        </w:rPr>
        <w:t>（一）</w:t>
      </w:r>
      <w:r>
        <w:rPr>
          <w:rFonts w:ascii="仿宋" w:hAnsi="仿宋" w:eastAsia="仿宋"/>
          <w:color w:val="auto"/>
          <w:kern w:val="0"/>
          <w:sz w:val="30"/>
          <w:szCs w:val="30"/>
        </w:rPr>
        <w:t>合同期限</w:t>
      </w:r>
      <w:r>
        <w:rPr>
          <w:rFonts w:hint="eastAsia" w:ascii="仿宋" w:hAnsi="仿宋" w:eastAsia="仿宋"/>
          <w:color w:val="auto"/>
          <w:kern w:val="0"/>
          <w:sz w:val="30"/>
          <w:szCs w:val="30"/>
        </w:rPr>
        <w:t>：</w:t>
      </w:r>
    </w:p>
    <w:p w14:paraId="7552611C">
      <w:pPr>
        <w:keepNext w:val="0"/>
        <w:keepLines w:val="0"/>
        <w:pageBreakBefore w:val="0"/>
        <w:widowControl/>
        <w:kinsoku/>
        <w:wordWrap/>
        <w:overflowPunct/>
        <w:topLinePunct w:val="0"/>
        <w:bidi w:val="0"/>
        <w:adjustRightInd w:val="0"/>
        <w:snapToGrid w:val="0"/>
        <w:spacing w:line="480" w:lineRule="exact"/>
        <w:ind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中马广场（除3</w:t>
      </w:r>
      <w:r>
        <w:rPr>
          <w:rFonts w:ascii="仿宋" w:hAnsi="仿宋" w:eastAsia="仿宋"/>
          <w:color w:val="auto"/>
          <w:kern w:val="0"/>
          <w:sz w:val="30"/>
          <w:szCs w:val="30"/>
        </w:rPr>
        <w:t>#</w:t>
      </w:r>
      <w:r>
        <w:rPr>
          <w:rFonts w:hint="eastAsia" w:ascii="仿宋" w:hAnsi="仿宋" w:eastAsia="仿宋"/>
          <w:color w:val="auto"/>
          <w:kern w:val="0"/>
          <w:sz w:val="30"/>
          <w:szCs w:val="30"/>
        </w:rPr>
        <w:t>酒店）项目：暂定</w:t>
      </w:r>
      <w:r>
        <w:rPr>
          <w:rFonts w:ascii="仿宋" w:hAnsi="仿宋" w:eastAsia="仿宋"/>
          <w:color w:val="auto"/>
          <w:kern w:val="0"/>
          <w:sz w:val="30"/>
          <w:szCs w:val="30"/>
        </w:rPr>
        <w:t>自</w:t>
      </w:r>
      <w:r>
        <w:rPr>
          <w:rFonts w:hint="eastAsia" w:ascii="仿宋" w:hAnsi="仿宋" w:eastAsia="仿宋"/>
          <w:color w:val="auto"/>
          <w:kern w:val="0"/>
          <w:sz w:val="30"/>
          <w:szCs w:val="30"/>
          <w:u w:val="single"/>
        </w:rPr>
        <w:t xml:space="preserve"> 202</w:t>
      </w:r>
      <w:r>
        <w:rPr>
          <w:rFonts w:hint="eastAsia" w:ascii="仿宋" w:hAnsi="仿宋" w:eastAsia="仿宋"/>
          <w:color w:val="auto"/>
          <w:kern w:val="0"/>
          <w:sz w:val="30"/>
          <w:szCs w:val="30"/>
          <w:u w:val="single"/>
          <w:lang w:val="en-US" w:eastAsia="zh-CN"/>
        </w:rPr>
        <w:t>5</w:t>
      </w:r>
      <w:r>
        <w:rPr>
          <w:rFonts w:ascii="仿宋" w:hAnsi="仿宋" w:eastAsia="仿宋"/>
          <w:color w:val="auto"/>
          <w:kern w:val="0"/>
          <w:sz w:val="30"/>
          <w:szCs w:val="30"/>
        </w:rPr>
        <w:t>年</w:t>
      </w:r>
      <w:r>
        <w:rPr>
          <w:rFonts w:hint="eastAsia" w:ascii="仿宋" w:hAnsi="仿宋" w:eastAsia="仿宋"/>
          <w:color w:val="auto"/>
          <w:kern w:val="0"/>
          <w:sz w:val="30"/>
          <w:szCs w:val="30"/>
          <w:u w:val="single"/>
          <w:lang w:val="en-US" w:eastAsia="zh-CN"/>
        </w:rPr>
        <w:t xml:space="preserve"> 8 </w:t>
      </w:r>
      <w:r>
        <w:rPr>
          <w:rFonts w:ascii="仿宋" w:hAnsi="仿宋" w:eastAsia="仿宋"/>
          <w:color w:val="auto"/>
          <w:kern w:val="0"/>
          <w:sz w:val="30"/>
          <w:szCs w:val="30"/>
        </w:rPr>
        <w:t>月</w:t>
      </w:r>
      <w:r>
        <w:rPr>
          <w:rFonts w:hint="eastAsia" w:ascii="仿宋" w:hAnsi="仿宋" w:eastAsia="仿宋"/>
          <w:color w:val="auto"/>
          <w:kern w:val="0"/>
          <w:sz w:val="30"/>
          <w:szCs w:val="30"/>
          <w:u w:val="single"/>
        </w:rPr>
        <w:t xml:space="preserve"> </w:t>
      </w:r>
      <w:r>
        <w:rPr>
          <w:rFonts w:hint="eastAsia" w:ascii="仿宋" w:hAnsi="仿宋" w:eastAsia="仿宋"/>
          <w:color w:val="auto"/>
          <w:kern w:val="0"/>
          <w:sz w:val="30"/>
          <w:szCs w:val="30"/>
          <w:u w:val="single"/>
          <w:lang w:val="en-US" w:eastAsia="zh-CN"/>
        </w:rPr>
        <w:t xml:space="preserve">16 </w:t>
      </w:r>
      <w:r>
        <w:rPr>
          <w:rFonts w:ascii="仿宋" w:hAnsi="仿宋" w:eastAsia="仿宋"/>
          <w:color w:val="auto"/>
          <w:kern w:val="0"/>
          <w:sz w:val="30"/>
          <w:szCs w:val="30"/>
        </w:rPr>
        <w:t>日起至</w:t>
      </w:r>
      <w:r>
        <w:rPr>
          <w:rFonts w:hint="eastAsia" w:ascii="仿宋" w:hAnsi="仿宋" w:eastAsia="仿宋"/>
          <w:color w:val="auto"/>
          <w:kern w:val="0"/>
          <w:sz w:val="30"/>
          <w:szCs w:val="30"/>
          <w:u w:val="single"/>
        </w:rPr>
        <w:t xml:space="preserve"> 202</w:t>
      </w:r>
      <w:r>
        <w:rPr>
          <w:rFonts w:hint="eastAsia" w:ascii="仿宋" w:hAnsi="仿宋" w:eastAsia="仿宋"/>
          <w:color w:val="auto"/>
          <w:kern w:val="0"/>
          <w:sz w:val="30"/>
          <w:szCs w:val="30"/>
          <w:u w:val="single"/>
          <w:lang w:val="en-US" w:eastAsia="zh-CN"/>
        </w:rPr>
        <w:t>6</w:t>
      </w:r>
      <w:r>
        <w:rPr>
          <w:rFonts w:ascii="仿宋" w:hAnsi="仿宋" w:eastAsia="仿宋"/>
          <w:color w:val="auto"/>
          <w:kern w:val="0"/>
          <w:sz w:val="30"/>
          <w:szCs w:val="30"/>
        </w:rPr>
        <w:t>年</w:t>
      </w:r>
      <w:r>
        <w:rPr>
          <w:rFonts w:hint="eastAsia" w:ascii="仿宋" w:hAnsi="仿宋" w:eastAsia="仿宋"/>
          <w:color w:val="auto"/>
          <w:kern w:val="0"/>
          <w:sz w:val="30"/>
          <w:szCs w:val="30"/>
          <w:u w:val="single"/>
          <w:lang w:val="en-US" w:eastAsia="zh-CN"/>
        </w:rPr>
        <w:t xml:space="preserve"> 8 </w:t>
      </w:r>
      <w:r>
        <w:rPr>
          <w:rFonts w:ascii="仿宋" w:hAnsi="仿宋" w:eastAsia="仿宋"/>
          <w:color w:val="auto"/>
          <w:kern w:val="0"/>
          <w:sz w:val="30"/>
          <w:szCs w:val="30"/>
        </w:rPr>
        <w:t>月</w:t>
      </w:r>
      <w:r>
        <w:rPr>
          <w:rFonts w:hint="eastAsia" w:ascii="仿宋" w:hAnsi="仿宋" w:eastAsia="仿宋"/>
          <w:color w:val="auto"/>
          <w:kern w:val="0"/>
          <w:sz w:val="30"/>
          <w:szCs w:val="30"/>
          <w:u w:val="single"/>
        </w:rPr>
        <w:t xml:space="preserve"> </w:t>
      </w:r>
      <w:r>
        <w:rPr>
          <w:rFonts w:hint="eastAsia" w:ascii="仿宋" w:hAnsi="仿宋" w:eastAsia="仿宋"/>
          <w:color w:val="auto"/>
          <w:kern w:val="0"/>
          <w:sz w:val="30"/>
          <w:szCs w:val="30"/>
          <w:u w:val="single"/>
          <w:lang w:val="en-US" w:eastAsia="zh-CN"/>
        </w:rPr>
        <w:t xml:space="preserve"> 15 </w:t>
      </w:r>
      <w:r>
        <w:rPr>
          <w:rFonts w:ascii="仿宋" w:hAnsi="仿宋" w:eastAsia="仿宋"/>
          <w:color w:val="auto"/>
          <w:kern w:val="0"/>
          <w:sz w:val="30"/>
          <w:szCs w:val="30"/>
        </w:rPr>
        <w:t>日止</w:t>
      </w:r>
      <w:r>
        <w:rPr>
          <w:rFonts w:hint="eastAsia" w:ascii="仿宋" w:hAnsi="仿宋" w:eastAsia="仿宋"/>
          <w:color w:val="auto"/>
          <w:kern w:val="0"/>
          <w:sz w:val="30"/>
          <w:szCs w:val="30"/>
        </w:rPr>
        <w:t>（服务起始日最终以甲方通知进场时间为准，合同服务期为1年）；</w:t>
      </w:r>
    </w:p>
    <w:p w14:paraId="4C419482">
      <w:pPr>
        <w:keepNext w:val="0"/>
        <w:keepLines w:val="0"/>
        <w:pageBreakBefore w:val="0"/>
        <w:widowControl/>
        <w:kinsoku/>
        <w:wordWrap/>
        <w:overflowPunct/>
        <w:topLinePunct w:val="0"/>
        <w:bidi w:val="0"/>
        <w:adjustRightInd w:val="0"/>
        <w:snapToGrid w:val="0"/>
        <w:spacing w:line="480" w:lineRule="exact"/>
        <w:ind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（二）合同考察期：</w:t>
      </w:r>
    </w:p>
    <w:p w14:paraId="3467E9E2">
      <w:pPr>
        <w:keepNext w:val="0"/>
        <w:keepLines w:val="0"/>
        <w:pageBreakBefore w:val="0"/>
        <w:widowControl/>
        <w:kinsoku/>
        <w:wordWrap/>
        <w:overflowPunct/>
        <w:topLinePunct w:val="0"/>
        <w:bidi w:val="0"/>
        <w:snapToGrid w:val="0"/>
        <w:spacing w:line="480" w:lineRule="exact"/>
        <w:ind w:firstLine="600" w:firstLineChars="200"/>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rPr>
        <w:t>服务起始日起</w:t>
      </w:r>
      <w:r>
        <w:rPr>
          <w:rFonts w:ascii="仿宋" w:hAnsi="仿宋" w:eastAsia="仿宋"/>
          <w:color w:val="auto"/>
          <w:kern w:val="0"/>
          <w:sz w:val="30"/>
          <w:szCs w:val="30"/>
          <w:u w:val="single"/>
        </w:rPr>
        <w:t xml:space="preserve"> 30 </w:t>
      </w:r>
      <w:r>
        <w:rPr>
          <w:rFonts w:hint="eastAsia" w:ascii="仿宋" w:hAnsi="仿宋" w:eastAsia="仿宋"/>
          <w:color w:val="auto"/>
          <w:kern w:val="0"/>
          <w:sz w:val="30"/>
          <w:szCs w:val="30"/>
        </w:rPr>
        <w:t>日为考察期。考察期内，如甲方认为乙方提供的服务有下列情形的，甲方有权立即通知乙方终止本合同：</w:t>
      </w:r>
    </w:p>
    <w:p w14:paraId="004A2057">
      <w:pPr>
        <w:keepNext w:val="0"/>
        <w:keepLines w:val="0"/>
        <w:pageBreakBefore w:val="0"/>
        <w:widowControl/>
        <w:kinsoku/>
        <w:wordWrap/>
        <w:overflowPunct/>
        <w:topLinePunct w:val="0"/>
        <w:bidi w:val="0"/>
        <w:snapToGrid w:val="0"/>
        <w:spacing w:line="480" w:lineRule="exact"/>
        <w:ind w:firstLine="600" w:firstLineChars="200"/>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lang w:val="en-US" w:eastAsia="zh-CN"/>
        </w:rPr>
        <w:t>1.</w:t>
      </w:r>
      <w:r>
        <w:rPr>
          <w:rFonts w:hint="eastAsia" w:ascii="仿宋" w:hAnsi="仿宋" w:eastAsia="仿宋"/>
          <w:color w:val="auto"/>
          <w:kern w:val="0"/>
          <w:sz w:val="30"/>
          <w:szCs w:val="30"/>
        </w:rPr>
        <w:t>乙方的服务质量被甲方评估考核不合格的；</w:t>
      </w:r>
    </w:p>
    <w:p w14:paraId="4ADDC208">
      <w:pPr>
        <w:keepNext w:val="0"/>
        <w:keepLines w:val="0"/>
        <w:pageBreakBefore w:val="0"/>
        <w:widowControl/>
        <w:kinsoku/>
        <w:wordWrap/>
        <w:overflowPunct/>
        <w:topLinePunct w:val="0"/>
        <w:bidi w:val="0"/>
        <w:snapToGrid w:val="0"/>
        <w:spacing w:line="480" w:lineRule="exact"/>
        <w:ind w:firstLine="600" w:firstLineChars="200"/>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lang w:val="en-US" w:eastAsia="zh-CN"/>
        </w:rPr>
        <w:t>2.</w:t>
      </w:r>
      <w:r>
        <w:rPr>
          <w:rFonts w:hint="eastAsia" w:ascii="仿宋" w:hAnsi="仿宋" w:eastAsia="仿宋"/>
          <w:color w:val="auto"/>
          <w:kern w:val="0"/>
          <w:sz w:val="30"/>
          <w:szCs w:val="30"/>
        </w:rPr>
        <w:t>乙方的服务被甲方或业主投诉累计达1次及以上的；</w:t>
      </w:r>
    </w:p>
    <w:p w14:paraId="5ACD6379">
      <w:pPr>
        <w:keepNext w:val="0"/>
        <w:keepLines w:val="0"/>
        <w:pageBreakBefore w:val="0"/>
        <w:widowControl/>
        <w:kinsoku/>
        <w:wordWrap/>
        <w:overflowPunct/>
        <w:topLinePunct w:val="0"/>
        <w:bidi w:val="0"/>
        <w:snapToGrid w:val="0"/>
        <w:spacing w:line="480" w:lineRule="exact"/>
        <w:ind w:firstLine="600" w:firstLineChars="200"/>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lang w:val="en-US" w:eastAsia="zh-CN"/>
        </w:rPr>
        <w:t>3.</w:t>
      </w:r>
      <w:r>
        <w:rPr>
          <w:rFonts w:hint="eastAsia" w:ascii="仿宋" w:hAnsi="仿宋" w:eastAsia="仿宋"/>
          <w:color w:val="auto"/>
          <w:kern w:val="0"/>
          <w:sz w:val="30"/>
          <w:szCs w:val="30"/>
        </w:rPr>
        <w:t>乙方的服务存在瑕疵，导致甲方受到相关行政主管部门处罚的；</w:t>
      </w:r>
    </w:p>
    <w:p w14:paraId="4B736B28">
      <w:pPr>
        <w:keepNext w:val="0"/>
        <w:keepLines w:val="0"/>
        <w:pageBreakBefore w:val="0"/>
        <w:widowControl/>
        <w:kinsoku/>
        <w:wordWrap/>
        <w:overflowPunct/>
        <w:topLinePunct w:val="0"/>
        <w:bidi w:val="0"/>
        <w:snapToGrid w:val="0"/>
        <w:spacing w:line="480" w:lineRule="exact"/>
        <w:ind w:firstLine="600" w:firstLineChars="200"/>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lang w:val="en-US" w:eastAsia="zh-CN"/>
        </w:rPr>
        <w:t>4.</w:t>
      </w:r>
      <w:r>
        <w:rPr>
          <w:rFonts w:hint="eastAsia" w:ascii="仿宋" w:hAnsi="仿宋" w:eastAsia="仿宋"/>
          <w:color w:val="auto"/>
          <w:kern w:val="0"/>
          <w:sz w:val="30"/>
          <w:szCs w:val="30"/>
        </w:rPr>
        <w:t>乙方作业过程中发生安全事故的；</w:t>
      </w:r>
    </w:p>
    <w:p w14:paraId="7EC0D556">
      <w:pPr>
        <w:keepNext w:val="0"/>
        <w:keepLines w:val="0"/>
        <w:pageBreakBefore w:val="0"/>
        <w:widowControl/>
        <w:kinsoku/>
        <w:wordWrap/>
        <w:overflowPunct/>
        <w:topLinePunct w:val="0"/>
        <w:bidi w:val="0"/>
        <w:snapToGrid w:val="0"/>
        <w:spacing w:line="480" w:lineRule="exact"/>
        <w:ind w:firstLine="600" w:firstLineChars="200"/>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lang w:val="en-US" w:eastAsia="zh-CN"/>
        </w:rPr>
        <w:t>5.</w:t>
      </w:r>
      <w:r>
        <w:rPr>
          <w:rFonts w:hint="eastAsia" w:ascii="仿宋" w:hAnsi="仿宋" w:eastAsia="仿宋"/>
          <w:color w:val="auto"/>
          <w:kern w:val="0"/>
          <w:sz w:val="30"/>
          <w:szCs w:val="30"/>
        </w:rPr>
        <w:t>乙方违反本合同约定的乙方应履行的义务内容，未在甲方书面通知限期内整改或者整改后仍不符合甲方要求的；</w:t>
      </w:r>
    </w:p>
    <w:p w14:paraId="3BF45669">
      <w:pPr>
        <w:keepNext w:val="0"/>
        <w:keepLines w:val="0"/>
        <w:pageBreakBefore w:val="0"/>
        <w:widowControl/>
        <w:kinsoku/>
        <w:wordWrap/>
        <w:overflowPunct/>
        <w:topLinePunct w:val="0"/>
        <w:bidi w:val="0"/>
        <w:snapToGrid w:val="0"/>
        <w:spacing w:line="480" w:lineRule="exact"/>
        <w:ind w:firstLine="600" w:firstLineChars="200"/>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lang w:val="en-US" w:eastAsia="zh-CN"/>
        </w:rPr>
        <w:t>6.</w:t>
      </w:r>
      <w:r>
        <w:rPr>
          <w:rFonts w:hint="eastAsia" w:ascii="仿宋" w:hAnsi="仿宋" w:eastAsia="仿宋"/>
          <w:color w:val="auto"/>
          <w:kern w:val="0"/>
          <w:sz w:val="30"/>
          <w:szCs w:val="30"/>
        </w:rPr>
        <w:t>发生本合同约定的合同解除、终止情形的。</w:t>
      </w:r>
    </w:p>
    <w:p w14:paraId="4106ECBC">
      <w:pPr>
        <w:keepNext w:val="0"/>
        <w:keepLines w:val="0"/>
        <w:pageBreakBefore w:val="0"/>
        <w:widowControl/>
        <w:kinsoku/>
        <w:wordWrap/>
        <w:overflowPunct/>
        <w:topLinePunct w:val="0"/>
        <w:bidi w:val="0"/>
        <w:snapToGrid w:val="0"/>
        <w:spacing w:line="480" w:lineRule="exact"/>
        <w:ind w:firstLine="600" w:firstLineChars="200"/>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rPr>
        <w:t>本合同自甲方通知到达乙方时终止，双方按</w:t>
      </w:r>
      <w:r>
        <w:rPr>
          <w:rFonts w:ascii="仿宋" w:hAnsi="仿宋" w:eastAsia="仿宋"/>
          <w:color w:val="auto"/>
          <w:kern w:val="0"/>
          <w:sz w:val="30"/>
          <w:szCs w:val="30"/>
        </w:rPr>
        <w:t>本合同约定的标准</w:t>
      </w:r>
      <w:r>
        <w:rPr>
          <w:rFonts w:hint="eastAsia" w:ascii="仿宋" w:hAnsi="仿宋" w:eastAsia="仿宋"/>
          <w:color w:val="auto"/>
          <w:kern w:val="0"/>
          <w:sz w:val="30"/>
          <w:szCs w:val="30"/>
        </w:rPr>
        <w:t>据实结算服务费，除此之外，甲方无需承担其他任何费用或责任。</w:t>
      </w:r>
    </w:p>
    <w:p w14:paraId="41B38107">
      <w:pPr>
        <w:keepNext w:val="0"/>
        <w:keepLines w:val="0"/>
        <w:pageBreakBefore w:val="0"/>
        <w:widowControl/>
        <w:kinsoku/>
        <w:wordWrap/>
        <w:overflowPunct/>
        <w:topLinePunct w:val="0"/>
        <w:bidi w:val="0"/>
        <w:snapToGrid w:val="0"/>
        <w:spacing w:before="240" w:line="480" w:lineRule="exact"/>
        <w:ind w:firstLine="602" w:firstLineChars="200"/>
        <w:textAlignment w:val="auto"/>
        <w:rPr>
          <w:rFonts w:ascii="仿宋" w:hAnsi="仿宋" w:eastAsia="仿宋"/>
          <w:color w:val="auto"/>
          <w:kern w:val="0"/>
          <w:sz w:val="30"/>
          <w:szCs w:val="30"/>
        </w:rPr>
      </w:pPr>
      <w:r>
        <w:rPr>
          <w:rFonts w:hint="eastAsia" w:ascii="仿宋" w:hAnsi="仿宋" w:eastAsia="仿宋"/>
          <w:b/>
          <w:color w:val="auto"/>
          <w:sz w:val="30"/>
          <w:szCs w:val="30"/>
        </w:rPr>
        <w:t>第四条合同维保范围和内容</w:t>
      </w:r>
      <w:r>
        <w:rPr>
          <w:rFonts w:hint="eastAsia" w:ascii="仿宋" w:hAnsi="仿宋" w:eastAsia="仿宋"/>
          <w:color w:val="auto"/>
          <w:kern w:val="0"/>
          <w:sz w:val="30"/>
          <w:szCs w:val="30"/>
        </w:rPr>
        <w:t>（具体详见合同附件一）</w:t>
      </w:r>
    </w:p>
    <w:p w14:paraId="758520EE">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（一）消火栓系统：室内外消火栓、消火栓按钮、消防水泵、水泵结合器、试验用消火栓、消火栓系统室内管网</w:t>
      </w:r>
      <w:r>
        <w:rPr>
          <w:rFonts w:hint="eastAsia" w:ascii="仿宋" w:hAnsi="仿宋" w:eastAsia="仿宋"/>
          <w:color w:val="auto"/>
          <w:kern w:val="0"/>
          <w:sz w:val="30"/>
          <w:szCs w:val="30"/>
          <w:lang w:eastAsia="zh-CN"/>
        </w:rPr>
        <w:t>、室外消防管网</w:t>
      </w:r>
      <w:r>
        <w:rPr>
          <w:rFonts w:hint="eastAsia" w:ascii="仿宋" w:hAnsi="仿宋" w:eastAsia="仿宋"/>
          <w:color w:val="auto"/>
          <w:kern w:val="0"/>
          <w:sz w:val="30"/>
          <w:szCs w:val="30"/>
        </w:rPr>
        <w:t>以及各种阀门的巡查、检测、维护、保养。</w:t>
      </w:r>
    </w:p>
    <w:p w14:paraId="0A3D5CFD">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（二）自动喷淋灭火系统：湿式报警阀、水流指示器、安全信号阀、压力开关、喷淋泵、喷淋头、水泵接合器、管网及自动喷淋系统各种阀门的巡查、检测、维护、保养。</w:t>
      </w:r>
    </w:p>
    <w:p w14:paraId="0EC2D70C">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（三）火灾自动报警系统：报警控制主机、感烟探测器、感温探测器、消火栓按钮、手动报警按钮、声光报警器、报警控制主机、CRT模块、消防端子箱、报警设备及其线路的巡查、检测、维护、保养。</w:t>
      </w:r>
    </w:p>
    <w:p w14:paraId="579C802D">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highlight w:val="yellow"/>
        </w:rPr>
      </w:pPr>
      <w:r>
        <w:rPr>
          <w:rFonts w:hint="eastAsia" w:ascii="仿宋" w:hAnsi="仿宋" w:eastAsia="仿宋"/>
          <w:color w:val="auto"/>
          <w:kern w:val="0"/>
          <w:sz w:val="30"/>
          <w:szCs w:val="30"/>
        </w:rPr>
        <w:t>（四）火警通讯系统及消防广播系统：广播控制器、话筒、音箱、功放及其线路、火警电话主机、对讲电话及其管线的巡查、检测、维护、保养。</w:t>
      </w:r>
    </w:p>
    <w:p w14:paraId="38B61880">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（五）防排烟系统：防排烟风机、风阀、风管、风机控制柜及控制线路的巡查、检测、维护、保养。</w:t>
      </w:r>
    </w:p>
    <w:p w14:paraId="092AA656">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（六）消防应急照明及疏散指示系统：应急照明柜、</w:t>
      </w:r>
      <w:r>
        <w:rPr>
          <w:rFonts w:hint="eastAsia" w:ascii="仿宋" w:hAnsi="仿宋" w:eastAsia="仿宋" w:cs="宋体"/>
          <w:color w:val="auto"/>
          <w:kern w:val="0"/>
          <w:sz w:val="30"/>
          <w:szCs w:val="30"/>
        </w:rPr>
        <w:t>应急灯、疏散指示灯、出口指示灯等</w:t>
      </w:r>
      <w:r>
        <w:rPr>
          <w:rFonts w:hint="eastAsia" w:ascii="仿宋" w:hAnsi="仿宋" w:eastAsia="仿宋"/>
          <w:color w:val="auto"/>
          <w:kern w:val="0"/>
          <w:sz w:val="30"/>
          <w:szCs w:val="30"/>
        </w:rPr>
        <w:t>应急照明系统切换装置消防控制信号的巡查、检测、维护、保养。</w:t>
      </w:r>
    </w:p>
    <w:p w14:paraId="5BD2B66F">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（七）气体灭火系统：气体灭火控制主机、紧急启停按钮、放气指示灯、声光报警器、气瓶组、管道的巡查、检测、维护、保养。</w:t>
      </w:r>
    </w:p>
    <w:p w14:paraId="6F68BB3E">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（八）防火分隔系统：防火卷帘及其控制装置的巡查、检测、维护、保养。</w:t>
      </w:r>
    </w:p>
    <w:p w14:paraId="55446A2C">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（九）消防水池（水箱）及其附属设施（自动补水装置）、疏散指示灯的维护保养。通过联动测试，若发现电梯、风机、防火卷帘门、配电柜等设备本身出现故障，乙方应及时告知甲方，并协助甲方处理。</w:t>
      </w:r>
    </w:p>
    <w:p w14:paraId="1C351584">
      <w:pPr>
        <w:keepNext w:val="0"/>
        <w:keepLines w:val="0"/>
        <w:pageBreakBefore w:val="0"/>
        <w:widowControl/>
        <w:kinsoku/>
        <w:wordWrap/>
        <w:overflowPunct/>
        <w:topLinePunct w:val="0"/>
        <w:bidi w:val="0"/>
        <w:snapToGrid w:val="0"/>
        <w:spacing w:line="480" w:lineRule="exact"/>
        <w:ind w:firstLine="450" w:firstLineChars="150"/>
        <w:textAlignment w:val="auto"/>
        <w:rPr>
          <w:rFonts w:hint="eastAsia" w:ascii="仿宋" w:hAnsi="仿宋" w:eastAsia="仿宋"/>
          <w:color w:val="auto"/>
          <w:kern w:val="0"/>
          <w:sz w:val="30"/>
          <w:szCs w:val="30"/>
        </w:rPr>
      </w:pPr>
      <w:r>
        <w:rPr>
          <w:rFonts w:hint="eastAsia" w:ascii="仿宋" w:hAnsi="仿宋" w:eastAsia="仿宋"/>
          <w:color w:val="auto"/>
          <w:kern w:val="0"/>
          <w:sz w:val="30"/>
          <w:szCs w:val="30"/>
        </w:rPr>
        <w:t>（十）维保零配件、材料清单：每次维修、保养过程中，对损坏的低值易耗品（单价价值＜200元）乙方需进行免费更换（参考附件四）；对于维保过程中发现需要更换单价价值200元以上（含）的材料或零配件的，需书面通知甲方，甲方参考合同附件五《200 元以上付费材料清单》所示价格另行结算。</w:t>
      </w:r>
    </w:p>
    <w:p w14:paraId="7D703917">
      <w:pPr>
        <w:keepNext w:val="0"/>
        <w:keepLines w:val="0"/>
        <w:pageBreakBefore w:val="0"/>
        <w:widowControl/>
        <w:kinsoku/>
        <w:wordWrap/>
        <w:overflowPunct/>
        <w:topLinePunct w:val="0"/>
        <w:autoSpaceDE/>
        <w:autoSpaceDN/>
        <w:bidi w:val="0"/>
        <w:snapToGrid w:val="0"/>
        <w:spacing w:line="470" w:lineRule="exact"/>
        <w:ind w:firstLine="450" w:firstLineChars="150"/>
        <w:textAlignment w:val="auto"/>
      </w:pPr>
      <w:r>
        <w:rPr>
          <w:rFonts w:hint="eastAsia" w:ascii="仿宋" w:hAnsi="仿宋" w:eastAsia="仿宋"/>
          <w:kern w:val="0"/>
          <w:sz w:val="30"/>
          <w:szCs w:val="30"/>
          <w:lang w:eastAsia="zh-CN"/>
        </w:rPr>
        <w:t>（十一）对</w:t>
      </w:r>
      <w:r>
        <w:rPr>
          <w:rFonts w:hint="eastAsia" w:ascii="Times New Roman" w:hAnsi="仿宋" w:eastAsia="仿宋"/>
          <w:color w:val="auto"/>
          <w:sz w:val="32"/>
          <w:szCs w:val="32"/>
          <w:lang w:val="en-US" w:eastAsia="zh-CN"/>
        </w:rPr>
        <w:t>消防管网进行防腐防锈处理及外层涂刷红油。</w:t>
      </w:r>
    </w:p>
    <w:p w14:paraId="27634BC2">
      <w:pPr>
        <w:keepNext w:val="0"/>
        <w:keepLines w:val="0"/>
        <w:pageBreakBefore w:val="0"/>
        <w:widowControl/>
        <w:tabs>
          <w:tab w:val="left" w:pos="851"/>
          <w:tab w:val="left" w:pos="1702"/>
        </w:tabs>
        <w:kinsoku/>
        <w:wordWrap/>
        <w:overflowPunct/>
        <w:topLinePunct w:val="0"/>
        <w:bidi w:val="0"/>
        <w:spacing w:before="156" w:line="480" w:lineRule="exact"/>
        <w:ind w:firstLine="602" w:firstLineChars="200"/>
        <w:jc w:val="left"/>
        <w:textAlignment w:val="auto"/>
        <w:outlineLvl w:val="0"/>
        <w:rPr>
          <w:rFonts w:ascii="仿宋" w:hAnsi="仿宋" w:eastAsia="仿宋"/>
          <w:color w:val="auto"/>
          <w:sz w:val="30"/>
          <w:szCs w:val="30"/>
        </w:rPr>
      </w:pPr>
      <w:r>
        <w:rPr>
          <w:rFonts w:hint="eastAsia" w:ascii="仿宋" w:hAnsi="仿宋" w:eastAsia="仿宋"/>
          <w:b/>
          <w:color w:val="auto"/>
          <w:sz w:val="30"/>
          <w:szCs w:val="30"/>
        </w:rPr>
        <w:t>第五条维护保养要求</w:t>
      </w:r>
    </w:p>
    <w:p w14:paraId="2D288784">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（一）乙方应严格按照国家相关消防规范及本合同约定实施维修保养；</w:t>
      </w:r>
    </w:p>
    <w:p w14:paraId="5F600CEF">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（二）乙方每周至少一天（全天，时间为9：00-18：00；人员两人以上）在中马广场（除3#酒店）项目对消防设备进行维护保养。一般</w:t>
      </w:r>
      <w:r>
        <w:rPr>
          <w:rFonts w:hint="eastAsia" w:ascii="仿宋" w:hAnsi="仿宋" w:eastAsia="仿宋"/>
          <w:color w:val="auto"/>
          <w:kern w:val="0"/>
          <w:sz w:val="30"/>
          <w:szCs w:val="30"/>
          <w:lang w:val="en-US" w:eastAsia="zh-CN"/>
        </w:rPr>
        <w:t>故障</w:t>
      </w:r>
      <w:r>
        <w:rPr>
          <w:rFonts w:hint="eastAsia" w:ascii="仿宋" w:hAnsi="仿宋" w:eastAsia="仿宋"/>
          <w:color w:val="auto"/>
          <w:kern w:val="0"/>
          <w:sz w:val="30"/>
          <w:szCs w:val="30"/>
          <w:u w:val="single"/>
          <w:lang w:val="en-US" w:eastAsia="zh-CN"/>
        </w:rPr>
        <w:t xml:space="preserve"> 2  </w:t>
      </w:r>
      <w:r>
        <w:rPr>
          <w:rFonts w:hint="eastAsia" w:ascii="仿宋" w:hAnsi="仿宋" w:eastAsia="仿宋"/>
          <w:color w:val="auto"/>
          <w:kern w:val="0"/>
          <w:sz w:val="30"/>
          <w:szCs w:val="30"/>
          <w:u w:val="none"/>
          <w:lang w:val="en-US" w:eastAsia="zh-CN"/>
        </w:rPr>
        <w:t>小时内</w:t>
      </w:r>
      <w:r>
        <w:rPr>
          <w:rFonts w:hint="eastAsia" w:ascii="仿宋" w:hAnsi="仿宋" w:eastAsia="仿宋"/>
          <w:color w:val="auto"/>
          <w:kern w:val="0"/>
          <w:sz w:val="30"/>
          <w:szCs w:val="30"/>
        </w:rPr>
        <w:t>排除，较复杂的故障（如设备、线路故障）除外，应在</w:t>
      </w:r>
      <w:r>
        <w:rPr>
          <w:rFonts w:hint="eastAsia" w:ascii="仿宋" w:hAnsi="仿宋" w:eastAsia="仿宋"/>
          <w:color w:val="auto"/>
          <w:kern w:val="0"/>
          <w:sz w:val="30"/>
          <w:szCs w:val="30"/>
          <w:u w:val="single"/>
          <w:lang w:val="en-US" w:eastAsia="zh-CN"/>
        </w:rPr>
        <w:t xml:space="preserve">  24 </w:t>
      </w:r>
      <w:r>
        <w:rPr>
          <w:rFonts w:hint="eastAsia" w:ascii="仿宋" w:hAnsi="仿宋" w:eastAsia="仿宋"/>
          <w:color w:val="auto"/>
          <w:kern w:val="0"/>
          <w:sz w:val="30"/>
          <w:szCs w:val="30"/>
        </w:rPr>
        <w:t>小时内修复，特殊情况应及时书面向甲方提出申请，并征得甲方同意。否则甲方有权另行委托第三方修复，并视为乙方违约，每违约一次，甲方有权扣除当半年度服务费5%的违约金，合同期内违约累计达3次的，甲方有权单方解除本合同；</w:t>
      </w:r>
    </w:p>
    <w:p w14:paraId="1F376757">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（三）设备完好率要求不低于85%（设备完好率定义：设备清单中数量，完好数量占全部总数的比例）；</w:t>
      </w:r>
    </w:p>
    <w:p w14:paraId="0A75363E">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（四）维修及改造及时率要求不低于85%（维修及改造项目在要求或商定的时间内完成的件（次）占总申请（次）的比率）；维修合格率要求为95%，三个月内同一设备同配件故障返修率0%；</w:t>
      </w:r>
    </w:p>
    <w:p w14:paraId="2918FF72">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（五）维修更换配件要求为原厂家原品牌原规格型号的产品。若因产品停产等特殊原因导致无法找到原品牌规格产品，应征得甲方同意后方可使用优于原产品的替代品牌；</w:t>
      </w:r>
    </w:p>
    <w:p w14:paraId="7A7E4978">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（六）维护保养实施时，该项目消防系统应该具备维护保养条件。在乙方进场后</w:t>
      </w:r>
      <w:r>
        <w:rPr>
          <w:rFonts w:ascii="仿宋" w:hAnsi="仿宋" w:eastAsia="仿宋"/>
          <w:color w:val="auto"/>
          <w:kern w:val="0"/>
          <w:sz w:val="30"/>
          <w:szCs w:val="30"/>
          <w:u w:val="single"/>
        </w:rPr>
        <w:t xml:space="preserve"> 10 </w:t>
      </w:r>
      <w:r>
        <w:rPr>
          <w:rFonts w:hint="eastAsia" w:ascii="仿宋" w:hAnsi="仿宋" w:eastAsia="仿宋"/>
          <w:color w:val="auto"/>
          <w:kern w:val="0"/>
          <w:sz w:val="30"/>
          <w:szCs w:val="30"/>
        </w:rPr>
        <w:t>日内，根据项目消防系统运行的实际情况，双方共同制定整改方案，并经双方签字认可后，由乙方负责组织对进场前的遗留问题实施整改，费用由甲方负责协调，但如前期是由乙方进行维保的，整改费用由乙方承担。在维护保养期间内，乙方必须确保维保范围内的消防系统及其设备的正常运行和使用。</w:t>
      </w:r>
    </w:p>
    <w:p w14:paraId="7F3B19F8">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七）在合同期内，乙方及维保人员依法具有消防维保资质、安全许可证、技术资格证等相应资质证书且持续合法有效。甲方认为维保人员不称职或有其他违反法律、合同约定时，有权要求乙方进行更换。乙方须将维保人员的身份证明、上岗证书、联系方式等书面材料报甲方备案。</w:t>
      </w:r>
    </w:p>
    <w:p w14:paraId="18FD383C">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s="仿宋"/>
          <w:color w:val="auto"/>
          <w:sz w:val="30"/>
          <w:szCs w:val="30"/>
        </w:rPr>
      </w:pPr>
      <w:r>
        <w:rPr>
          <w:rFonts w:hint="eastAsia" w:ascii="仿宋" w:hAnsi="仿宋" w:eastAsia="仿宋"/>
          <w:color w:val="auto"/>
          <w:kern w:val="0"/>
          <w:sz w:val="30"/>
          <w:szCs w:val="30"/>
        </w:rPr>
        <w:t>（八）</w:t>
      </w:r>
      <w:r>
        <w:rPr>
          <w:rFonts w:hint="eastAsia" w:ascii="仿宋" w:hAnsi="仿宋" w:eastAsia="仿宋" w:cs="仿宋"/>
          <w:color w:val="auto"/>
          <w:sz w:val="30"/>
          <w:szCs w:val="30"/>
        </w:rPr>
        <w:t>在甲方有要求的情况下，乙方需要安排技术人员驻点，但驻点人员费用不包含在本合同金额内。驻点人员可以辐射周边项目，但在同时发生消防突发事件的情况下，需要优先保障甲方驻点项目的求援。</w:t>
      </w:r>
    </w:p>
    <w:p w14:paraId="543D022B">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s="仿宋"/>
          <w:color w:val="auto"/>
          <w:sz w:val="30"/>
          <w:szCs w:val="30"/>
        </w:rPr>
      </w:pPr>
      <w:r>
        <w:rPr>
          <w:rFonts w:hint="eastAsia" w:ascii="仿宋" w:hAnsi="仿宋" w:eastAsia="仿宋" w:cs="仿宋"/>
          <w:color w:val="auto"/>
          <w:sz w:val="30"/>
          <w:szCs w:val="30"/>
        </w:rPr>
        <w:t>（九）乙方维保人员应遵守甲方或甲方委托人的规章制度，在甲方项目应举止文明，对待甲方客户应有礼有节，维修、施工现场标识清晰，现场整洁、工完场清。乙方员工在甲方作业现场因不文明行为引起的相应责任由乙方承担。</w:t>
      </w:r>
    </w:p>
    <w:p w14:paraId="3AC4CA92">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（十）乙方按照国家及省、市有关消防维保法规、规范性文件要求和本合同约定（存在多种标准时，以标准要求高的规定或约定为准），乙方在进场维保后</w:t>
      </w:r>
      <w:r>
        <w:rPr>
          <w:rFonts w:hint="eastAsia" w:ascii="仿宋" w:hAnsi="仿宋" w:eastAsia="仿宋"/>
          <w:color w:val="auto"/>
          <w:kern w:val="0"/>
          <w:sz w:val="30"/>
          <w:szCs w:val="30"/>
          <w:u w:val="single"/>
        </w:rPr>
        <w:t>10</w:t>
      </w:r>
      <w:r>
        <w:rPr>
          <w:rFonts w:hint="eastAsia" w:ascii="仿宋" w:hAnsi="仿宋" w:eastAsia="仿宋"/>
          <w:color w:val="auto"/>
          <w:kern w:val="0"/>
          <w:sz w:val="30"/>
          <w:szCs w:val="30"/>
        </w:rPr>
        <w:t>个工作日内提交年度维保计划，并在每月</w:t>
      </w:r>
      <w:r>
        <w:rPr>
          <w:rFonts w:ascii="仿宋" w:hAnsi="仿宋" w:eastAsia="仿宋"/>
          <w:color w:val="auto"/>
          <w:kern w:val="0"/>
          <w:sz w:val="30"/>
          <w:szCs w:val="30"/>
          <w:u w:val="single"/>
        </w:rPr>
        <w:t xml:space="preserve"> 25</w:t>
      </w:r>
      <w:r>
        <w:rPr>
          <w:rFonts w:hint="eastAsia" w:ascii="仿宋" w:hAnsi="仿宋" w:eastAsia="仿宋"/>
          <w:color w:val="auto"/>
          <w:kern w:val="0"/>
          <w:sz w:val="30"/>
          <w:szCs w:val="30"/>
        </w:rPr>
        <w:t>日前提交下一月度维护保养方案、计划交甲方审核存档，乙方根据维护方案、计划进行消防设备设施周、月、季、年度维保工作并接受甲方监督检查及维保质量考核。</w:t>
      </w:r>
    </w:p>
    <w:p w14:paraId="43B8EFC8">
      <w:pPr>
        <w:keepNext w:val="0"/>
        <w:keepLines w:val="0"/>
        <w:pageBreakBefore w:val="0"/>
        <w:widowControl/>
        <w:kinsoku/>
        <w:wordWrap/>
        <w:overflowPunct/>
        <w:topLinePunct w:val="0"/>
        <w:bidi w:val="0"/>
        <w:snapToGrid w:val="0"/>
        <w:spacing w:line="480" w:lineRule="exact"/>
        <w:ind w:firstLine="750" w:firstLineChars="250"/>
        <w:textAlignment w:val="auto"/>
        <w:rPr>
          <w:rFonts w:ascii="仿宋" w:hAnsi="仿宋" w:eastAsia="仿宋"/>
          <w:color w:val="auto"/>
          <w:kern w:val="0"/>
          <w:sz w:val="30"/>
          <w:szCs w:val="30"/>
        </w:rPr>
      </w:pPr>
      <w:r>
        <w:rPr>
          <w:rFonts w:hint="eastAsia" w:ascii="仿宋" w:hAnsi="仿宋" w:eastAsia="仿宋"/>
          <w:color w:val="auto"/>
          <w:kern w:val="0"/>
          <w:sz w:val="30"/>
          <w:szCs w:val="30"/>
        </w:rPr>
        <w:t>甲方每月对乙方工作进行评估并出具消防维保服务评估表（详见附件六），乙方须及时签字盖章确认，就评估表中不合格或建议项，甲方有权要求乙方提供整改方案措施并在指定时间内整改完毕，如乙方拒绝签字盖章确认，甲方有权按照季度消防维保质量服务评估结果进行相应的处理。</w:t>
      </w:r>
    </w:p>
    <w:p w14:paraId="4275EB8E">
      <w:pPr>
        <w:keepNext w:val="0"/>
        <w:keepLines w:val="0"/>
        <w:pageBreakBefore w:val="0"/>
        <w:widowControl/>
        <w:tabs>
          <w:tab w:val="left" w:pos="851"/>
          <w:tab w:val="left" w:pos="1702"/>
        </w:tabs>
        <w:kinsoku/>
        <w:wordWrap/>
        <w:overflowPunct/>
        <w:topLinePunct w:val="0"/>
        <w:bidi w:val="0"/>
        <w:spacing w:before="156" w:line="480" w:lineRule="exact"/>
        <w:ind w:firstLine="602" w:firstLineChars="200"/>
        <w:jc w:val="left"/>
        <w:textAlignment w:val="auto"/>
        <w:outlineLvl w:val="0"/>
        <w:rPr>
          <w:rFonts w:hint="eastAsia" w:ascii="仿宋" w:hAnsi="仿宋" w:eastAsia="仿宋"/>
          <w:b/>
          <w:color w:val="auto"/>
          <w:sz w:val="30"/>
          <w:szCs w:val="30"/>
        </w:rPr>
      </w:pPr>
      <w:r>
        <w:rPr>
          <w:rFonts w:hint="eastAsia" w:ascii="仿宋" w:hAnsi="仿宋" w:eastAsia="仿宋"/>
          <w:b/>
          <w:color w:val="auto"/>
          <w:sz w:val="30"/>
          <w:szCs w:val="30"/>
        </w:rPr>
        <w:t>第六条履约保证金</w:t>
      </w:r>
    </w:p>
    <w:p w14:paraId="728ACAAC">
      <w:pPr>
        <w:keepNext w:val="0"/>
        <w:keepLines w:val="0"/>
        <w:pageBreakBefore w:val="0"/>
        <w:widowControl/>
        <w:tabs>
          <w:tab w:val="left" w:pos="851"/>
          <w:tab w:val="left" w:pos="1702"/>
        </w:tabs>
        <w:kinsoku/>
        <w:wordWrap/>
        <w:overflowPunct/>
        <w:topLinePunct w:val="0"/>
        <w:autoSpaceDE/>
        <w:autoSpaceDN/>
        <w:bidi w:val="0"/>
        <w:adjustRightInd/>
        <w:snapToGrid/>
        <w:spacing w:line="480" w:lineRule="exact"/>
        <w:ind w:firstLine="600" w:firstLineChars="200"/>
        <w:jc w:val="left"/>
        <w:textAlignment w:val="auto"/>
        <w:outlineLvl w:val="0"/>
        <w:rPr>
          <w:rFonts w:ascii="仿宋" w:hAnsi="仿宋" w:eastAsia="仿宋"/>
          <w:color w:val="auto"/>
          <w:kern w:val="0"/>
          <w:sz w:val="30"/>
          <w:szCs w:val="30"/>
        </w:rPr>
      </w:pPr>
      <w:r>
        <w:rPr>
          <w:rFonts w:hint="eastAsia" w:ascii="仿宋" w:hAnsi="仿宋" w:eastAsia="仿宋"/>
          <w:color w:val="auto"/>
          <w:kern w:val="0"/>
          <w:sz w:val="30"/>
          <w:szCs w:val="30"/>
        </w:rPr>
        <w:t>（一）</w:t>
      </w:r>
      <w:r>
        <w:rPr>
          <w:rFonts w:ascii="仿宋" w:hAnsi="仿宋" w:eastAsia="仿宋"/>
          <w:color w:val="auto"/>
          <w:kern w:val="0"/>
          <w:sz w:val="30"/>
          <w:szCs w:val="30"/>
        </w:rPr>
        <w:t>履约保证金金额</w:t>
      </w:r>
      <w:r>
        <w:rPr>
          <w:rFonts w:hint="eastAsia" w:ascii="仿宋" w:hAnsi="仿宋" w:eastAsia="仿宋"/>
          <w:color w:val="auto"/>
          <w:kern w:val="0"/>
          <w:sz w:val="30"/>
          <w:szCs w:val="30"/>
        </w:rPr>
        <w:t>：乙方在本合同签订后</w:t>
      </w:r>
      <w:r>
        <w:rPr>
          <w:rFonts w:hint="eastAsia" w:ascii="仿宋" w:hAnsi="仿宋" w:eastAsia="仿宋"/>
          <w:color w:val="auto"/>
          <w:kern w:val="0"/>
          <w:sz w:val="30"/>
          <w:szCs w:val="30"/>
          <w:u w:val="single"/>
        </w:rPr>
        <w:t xml:space="preserve"> 10 </w:t>
      </w:r>
      <w:r>
        <w:rPr>
          <w:rFonts w:hint="eastAsia" w:ascii="仿宋" w:hAnsi="仿宋" w:eastAsia="仿宋"/>
          <w:color w:val="auto"/>
          <w:kern w:val="0"/>
          <w:sz w:val="30"/>
          <w:szCs w:val="30"/>
        </w:rPr>
        <w:t>日内应当按照合同总金额的</w:t>
      </w:r>
      <w:r>
        <w:rPr>
          <w:rFonts w:ascii="仿宋" w:hAnsi="仿宋" w:eastAsia="仿宋"/>
          <w:color w:val="auto"/>
          <w:kern w:val="0"/>
          <w:sz w:val="30"/>
          <w:szCs w:val="30"/>
          <w:u w:val="single"/>
        </w:rPr>
        <w:t xml:space="preserve"> 5% </w:t>
      </w:r>
      <w:r>
        <w:rPr>
          <w:rFonts w:hint="eastAsia" w:ascii="仿宋" w:hAnsi="仿宋" w:eastAsia="仿宋"/>
          <w:color w:val="auto"/>
          <w:kern w:val="0"/>
          <w:sz w:val="30"/>
          <w:szCs w:val="30"/>
        </w:rPr>
        <w:t>，即人民币共计</w:t>
      </w:r>
      <w:r>
        <w:rPr>
          <w:rFonts w:hint="eastAsia" w:ascii="仿宋" w:hAnsi="仿宋" w:eastAsia="仿宋"/>
          <w:color w:val="auto"/>
          <w:sz w:val="30"/>
          <w:szCs w:val="30"/>
        </w:rPr>
        <w:t>￥</w:t>
      </w:r>
      <w:r>
        <w:rPr>
          <w:rFonts w:hint="eastAsia" w:ascii="仿宋" w:hAnsi="仿宋" w:eastAsia="仿宋"/>
          <w:color w:val="auto"/>
          <w:sz w:val="30"/>
          <w:szCs w:val="30"/>
          <w:u w:val="single"/>
          <w:lang w:val="en-US" w:eastAsia="zh-CN"/>
        </w:rPr>
        <w:t xml:space="preserve">     </w:t>
      </w:r>
      <w:r>
        <w:rPr>
          <w:rFonts w:hint="eastAsia" w:ascii="仿宋" w:hAnsi="仿宋" w:eastAsia="仿宋"/>
          <w:color w:val="auto"/>
          <w:sz w:val="30"/>
          <w:szCs w:val="30"/>
        </w:rPr>
        <w:t>元（大写</w:t>
      </w:r>
      <w:r>
        <w:rPr>
          <w:rFonts w:hint="eastAsia" w:ascii="仿宋" w:hAnsi="仿宋" w:eastAsia="仿宋"/>
          <w:color w:val="auto"/>
          <w:kern w:val="0"/>
          <w:sz w:val="30"/>
          <w:szCs w:val="30"/>
        </w:rPr>
        <w:t>人民币：</w:t>
      </w:r>
      <w:r>
        <w:rPr>
          <w:rFonts w:hint="eastAsia" w:ascii="仿宋" w:hAnsi="仿宋" w:eastAsia="仿宋"/>
          <w:color w:val="auto"/>
          <w:kern w:val="0"/>
          <w:sz w:val="30"/>
          <w:szCs w:val="30"/>
          <w:u w:val="single"/>
        </w:rPr>
        <w:t xml:space="preserve"> </w:t>
      </w:r>
      <w:r>
        <w:rPr>
          <w:rFonts w:hint="eastAsia" w:ascii="仿宋" w:hAnsi="仿宋" w:eastAsia="仿宋"/>
          <w:color w:val="auto"/>
          <w:kern w:val="0"/>
          <w:sz w:val="30"/>
          <w:szCs w:val="30"/>
          <w:u w:val="single"/>
          <w:lang w:val="en-US" w:eastAsia="zh-CN"/>
        </w:rPr>
        <w:t xml:space="preserve">    </w:t>
      </w:r>
      <w:r>
        <w:rPr>
          <w:rFonts w:hint="eastAsia" w:ascii="仿宋" w:hAnsi="仿宋" w:eastAsia="仿宋"/>
          <w:color w:val="auto"/>
          <w:kern w:val="0"/>
          <w:sz w:val="30"/>
          <w:szCs w:val="30"/>
        </w:rPr>
        <w:t>）作为履约保证金交付给甲方，甲方向乙方开具财务收款收据。</w:t>
      </w:r>
    </w:p>
    <w:p w14:paraId="684B7531">
      <w:pPr>
        <w:keepNext w:val="0"/>
        <w:keepLines w:val="0"/>
        <w:pageBreakBefore w:val="0"/>
        <w:widowControl w:val="0"/>
        <w:kinsoku/>
        <w:wordWrap/>
        <w:overflowPunct/>
        <w:topLinePunct w:val="0"/>
        <w:autoSpaceDE/>
        <w:autoSpaceDN/>
        <w:bidi w:val="0"/>
        <w:adjustRightInd/>
        <w:snapToGrid/>
        <w:spacing w:line="480" w:lineRule="exact"/>
        <w:ind w:firstLine="450" w:firstLineChars="150"/>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rPr>
        <w:t>（二）</w:t>
      </w:r>
      <w:r>
        <w:rPr>
          <w:rFonts w:ascii="仿宋" w:hAnsi="仿宋" w:eastAsia="仿宋"/>
          <w:color w:val="auto"/>
          <w:kern w:val="0"/>
          <w:sz w:val="30"/>
          <w:szCs w:val="30"/>
        </w:rPr>
        <w:t>履约保证金的保证范围：包括但不限于合同约定的乙方违约责任、乙方给甲方或第三方造成的人身或财产损失或行政、刑事赔偿、罚款</w:t>
      </w:r>
      <w:r>
        <w:rPr>
          <w:rFonts w:hint="eastAsia" w:ascii="仿宋" w:hAnsi="仿宋" w:eastAsia="仿宋"/>
          <w:color w:val="auto"/>
          <w:kern w:val="0"/>
          <w:sz w:val="30"/>
          <w:szCs w:val="30"/>
        </w:rPr>
        <w:t>、罚金、滞纳金</w:t>
      </w:r>
      <w:r>
        <w:rPr>
          <w:rFonts w:ascii="仿宋" w:hAnsi="仿宋" w:eastAsia="仿宋"/>
          <w:color w:val="auto"/>
          <w:kern w:val="0"/>
          <w:sz w:val="30"/>
          <w:szCs w:val="30"/>
        </w:rPr>
        <w:t>等。</w:t>
      </w:r>
    </w:p>
    <w:p w14:paraId="42526133">
      <w:pPr>
        <w:keepNext w:val="0"/>
        <w:keepLines w:val="0"/>
        <w:pageBreakBefore w:val="0"/>
        <w:widowControl w:val="0"/>
        <w:kinsoku/>
        <w:wordWrap/>
        <w:overflowPunct/>
        <w:topLinePunct w:val="0"/>
        <w:autoSpaceDE/>
        <w:autoSpaceDN/>
        <w:bidi w:val="0"/>
        <w:adjustRightInd/>
        <w:snapToGrid/>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（三）</w:t>
      </w:r>
      <w:r>
        <w:rPr>
          <w:rFonts w:ascii="仿宋" w:hAnsi="仿宋" w:eastAsia="仿宋"/>
          <w:color w:val="auto"/>
          <w:kern w:val="0"/>
          <w:sz w:val="30"/>
          <w:szCs w:val="30"/>
        </w:rPr>
        <w:t>履约保证金的使用及退还</w:t>
      </w:r>
    </w:p>
    <w:p w14:paraId="478485F7">
      <w:pPr>
        <w:keepNext w:val="0"/>
        <w:keepLines w:val="0"/>
        <w:pageBreakBefore w:val="0"/>
        <w:kinsoku/>
        <w:wordWrap/>
        <w:overflowPunct/>
        <w:topLinePunct w:val="0"/>
        <w:bidi w:val="0"/>
        <w:spacing w:line="480" w:lineRule="exact"/>
        <w:ind w:firstLine="600" w:firstLineChars="200"/>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rPr>
        <w:t>1</w:t>
      </w:r>
      <w:r>
        <w:rPr>
          <w:rFonts w:hint="eastAsia" w:ascii="仿宋" w:hAnsi="仿宋" w:eastAsia="仿宋"/>
          <w:color w:val="auto"/>
          <w:kern w:val="0"/>
          <w:sz w:val="30"/>
          <w:szCs w:val="30"/>
          <w:lang w:val="en-US" w:eastAsia="zh-CN"/>
        </w:rPr>
        <w:t>.</w:t>
      </w:r>
      <w:r>
        <w:rPr>
          <w:rFonts w:ascii="仿宋" w:hAnsi="仿宋" w:eastAsia="仿宋"/>
          <w:color w:val="auto"/>
          <w:kern w:val="0"/>
          <w:sz w:val="30"/>
          <w:szCs w:val="30"/>
        </w:rPr>
        <w:t>乙方出现本合同约定情形（包括但不限于乙方违约、甲方垫付款项、甲方产生维权费用及其他</w:t>
      </w:r>
      <w:r>
        <w:rPr>
          <w:rFonts w:hint="eastAsia" w:ascii="仿宋" w:hAnsi="仿宋" w:eastAsia="仿宋"/>
          <w:color w:val="auto"/>
          <w:kern w:val="0"/>
          <w:sz w:val="30"/>
          <w:szCs w:val="30"/>
        </w:rPr>
        <w:t>一切</w:t>
      </w:r>
      <w:r>
        <w:rPr>
          <w:rFonts w:ascii="仿宋" w:hAnsi="仿宋" w:eastAsia="仿宋"/>
          <w:color w:val="auto"/>
          <w:kern w:val="0"/>
          <w:sz w:val="30"/>
          <w:szCs w:val="30"/>
        </w:rPr>
        <w:t>损失）的，甲方有权直接扣减乙方的履约保证金，当履约保证金数额不足时，乙方应当在接到甲方通知之日起三日内补足，否则乙方行为构成违约，甲方有权根据合同约定要求乙方承担违约责任，且甲方有权单方解除合同。</w:t>
      </w:r>
    </w:p>
    <w:p w14:paraId="0A7DDB38">
      <w:pPr>
        <w:keepNext w:val="0"/>
        <w:keepLines w:val="0"/>
        <w:pageBreakBefore w:val="0"/>
        <w:kinsoku/>
        <w:wordWrap/>
        <w:overflowPunct/>
        <w:topLinePunct w:val="0"/>
        <w:bidi w:val="0"/>
        <w:spacing w:line="480" w:lineRule="exact"/>
        <w:ind w:firstLine="600" w:firstLineChars="200"/>
        <w:jc w:val="left"/>
        <w:textAlignment w:val="auto"/>
        <w:rPr>
          <w:rFonts w:ascii="仿宋" w:hAnsi="仿宋" w:eastAsia="仿宋"/>
          <w:color w:val="auto"/>
          <w:kern w:val="0"/>
          <w:sz w:val="30"/>
          <w:szCs w:val="30"/>
        </w:rPr>
      </w:pPr>
      <w:r>
        <w:rPr>
          <w:rFonts w:hint="eastAsia" w:ascii="仿宋" w:hAnsi="仿宋" w:eastAsia="仿宋"/>
          <w:color w:val="auto"/>
          <w:kern w:val="0"/>
          <w:sz w:val="30"/>
          <w:szCs w:val="30"/>
        </w:rPr>
        <w:t>2</w:t>
      </w:r>
      <w:r>
        <w:rPr>
          <w:rFonts w:hint="eastAsia" w:ascii="仿宋" w:hAnsi="仿宋" w:eastAsia="仿宋"/>
          <w:color w:val="auto"/>
          <w:kern w:val="0"/>
          <w:sz w:val="30"/>
          <w:szCs w:val="30"/>
          <w:lang w:val="en-US" w:eastAsia="zh-CN"/>
        </w:rPr>
        <w:t>.</w:t>
      </w:r>
      <w:r>
        <w:rPr>
          <w:rFonts w:ascii="仿宋" w:hAnsi="仿宋" w:eastAsia="仿宋"/>
          <w:color w:val="auto"/>
          <w:kern w:val="0"/>
          <w:sz w:val="30"/>
          <w:szCs w:val="30"/>
        </w:rPr>
        <w:t>乙方应当在本合同约定的义务履行完毕之日起凭履约保证金收款收据原件向甲方提交退款申请，甲方核实无误并确认合同履行完毕后</w:t>
      </w:r>
      <w:r>
        <w:rPr>
          <w:rFonts w:hint="eastAsia" w:ascii="仿宋" w:hAnsi="仿宋" w:eastAsia="仿宋"/>
          <w:color w:val="auto"/>
          <w:kern w:val="0"/>
          <w:sz w:val="30"/>
          <w:szCs w:val="30"/>
          <w:u w:val="single"/>
        </w:rPr>
        <w:t xml:space="preserve"> 20 </w:t>
      </w:r>
      <w:r>
        <w:rPr>
          <w:rFonts w:hint="eastAsia" w:ascii="仿宋" w:hAnsi="仿宋" w:eastAsia="仿宋"/>
          <w:color w:val="auto"/>
          <w:kern w:val="0"/>
          <w:sz w:val="30"/>
          <w:szCs w:val="30"/>
        </w:rPr>
        <w:t>个</w:t>
      </w:r>
      <w:r>
        <w:rPr>
          <w:rFonts w:ascii="仿宋" w:hAnsi="仿宋" w:eastAsia="仿宋"/>
          <w:color w:val="auto"/>
          <w:kern w:val="0"/>
          <w:sz w:val="30"/>
          <w:szCs w:val="30"/>
        </w:rPr>
        <w:t>工作日内将履约保证金无息退还给乙方。</w:t>
      </w:r>
    </w:p>
    <w:p w14:paraId="755C2741">
      <w:pPr>
        <w:keepNext w:val="0"/>
        <w:keepLines w:val="0"/>
        <w:pageBreakBefore w:val="0"/>
        <w:widowControl/>
        <w:tabs>
          <w:tab w:val="left" w:pos="851"/>
          <w:tab w:val="left" w:pos="1702"/>
        </w:tabs>
        <w:kinsoku/>
        <w:wordWrap/>
        <w:overflowPunct/>
        <w:topLinePunct w:val="0"/>
        <w:bidi w:val="0"/>
        <w:spacing w:before="156" w:line="480" w:lineRule="exact"/>
        <w:ind w:firstLine="602" w:firstLineChars="200"/>
        <w:jc w:val="left"/>
        <w:textAlignment w:val="auto"/>
        <w:outlineLvl w:val="0"/>
        <w:rPr>
          <w:rFonts w:ascii="仿宋" w:hAnsi="仿宋" w:eastAsia="仿宋"/>
          <w:color w:val="auto"/>
          <w:sz w:val="30"/>
          <w:szCs w:val="30"/>
        </w:rPr>
      </w:pPr>
      <w:r>
        <w:rPr>
          <w:rFonts w:hint="eastAsia" w:ascii="仿宋" w:hAnsi="仿宋" w:eastAsia="仿宋"/>
          <w:b/>
          <w:color w:val="auto"/>
          <w:sz w:val="30"/>
          <w:szCs w:val="30"/>
        </w:rPr>
        <w:t>第七条</w:t>
      </w:r>
      <w:r>
        <w:rPr>
          <w:rFonts w:ascii="仿宋" w:hAnsi="仿宋" w:eastAsia="仿宋"/>
          <w:b/>
          <w:color w:val="auto"/>
          <w:sz w:val="30"/>
          <w:szCs w:val="30"/>
        </w:rPr>
        <w:t xml:space="preserve"> 合同金额、付款方式</w:t>
      </w:r>
    </w:p>
    <w:p w14:paraId="4BF2252D">
      <w:pPr>
        <w:keepNext w:val="0"/>
        <w:keepLines w:val="0"/>
        <w:pageBreakBefore w:val="0"/>
        <w:widowControl/>
        <w:kinsoku/>
        <w:wordWrap/>
        <w:overflowPunct/>
        <w:topLinePunct w:val="0"/>
        <w:autoSpaceDE/>
        <w:autoSpaceDN/>
        <w:bidi w:val="0"/>
        <w:adjustRightInd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（一）</w:t>
      </w:r>
      <w:r>
        <w:rPr>
          <w:rFonts w:ascii="仿宋" w:hAnsi="仿宋" w:eastAsia="仿宋"/>
          <w:color w:val="auto"/>
          <w:kern w:val="0"/>
          <w:sz w:val="30"/>
          <w:szCs w:val="30"/>
        </w:rPr>
        <w:t>合同金额：</w:t>
      </w:r>
      <w:r>
        <w:rPr>
          <w:rFonts w:hint="eastAsia" w:ascii="仿宋" w:hAnsi="仿宋" w:eastAsia="仿宋"/>
          <w:color w:val="auto"/>
          <w:kern w:val="0"/>
          <w:sz w:val="30"/>
          <w:szCs w:val="30"/>
        </w:rPr>
        <w:t>合同期内</w:t>
      </w:r>
      <w:r>
        <w:rPr>
          <w:rFonts w:ascii="仿宋" w:hAnsi="仿宋" w:eastAsia="仿宋"/>
          <w:color w:val="auto"/>
          <w:kern w:val="0"/>
          <w:sz w:val="30"/>
          <w:szCs w:val="30"/>
        </w:rPr>
        <w:t>维保服务费用</w:t>
      </w:r>
      <w:r>
        <w:rPr>
          <w:rFonts w:hint="eastAsia" w:ascii="仿宋" w:hAnsi="仿宋" w:eastAsia="仿宋"/>
          <w:color w:val="auto"/>
          <w:kern w:val="0"/>
          <w:sz w:val="30"/>
          <w:szCs w:val="30"/>
        </w:rPr>
        <w:t>含税价￥</w:t>
      </w:r>
      <w:r>
        <w:rPr>
          <w:rFonts w:hint="eastAsia" w:ascii="仿宋" w:hAnsi="仿宋" w:eastAsia="仿宋"/>
          <w:color w:val="auto"/>
          <w:kern w:val="0"/>
          <w:sz w:val="30"/>
          <w:szCs w:val="30"/>
          <w:u w:val="single"/>
          <w:lang w:val="en-US" w:eastAsia="zh-CN"/>
        </w:rPr>
        <w:t xml:space="preserve">    </w:t>
      </w:r>
      <w:r>
        <w:rPr>
          <w:rFonts w:hint="eastAsia" w:ascii="仿宋" w:hAnsi="仿宋" w:eastAsia="仿宋"/>
          <w:color w:val="auto"/>
          <w:kern w:val="0"/>
          <w:sz w:val="30"/>
          <w:szCs w:val="30"/>
        </w:rPr>
        <w:t>元（大写人民币</w:t>
      </w:r>
      <w:r>
        <w:rPr>
          <w:rFonts w:hint="eastAsia" w:ascii="仿宋" w:hAnsi="仿宋" w:eastAsia="仿宋"/>
          <w:color w:val="auto"/>
          <w:kern w:val="0"/>
          <w:sz w:val="30"/>
          <w:szCs w:val="30"/>
          <w:u w:val="single"/>
          <w:lang w:val="en-US" w:eastAsia="zh-CN"/>
        </w:rPr>
        <w:t xml:space="preserve">     </w:t>
      </w:r>
      <w:r>
        <w:rPr>
          <w:rFonts w:hint="eastAsia" w:ascii="仿宋" w:hAnsi="仿宋" w:eastAsia="仿宋"/>
          <w:color w:val="auto"/>
          <w:kern w:val="0"/>
          <w:sz w:val="30"/>
          <w:szCs w:val="30"/>
        </w:rPr>
        <w:t>）。其中：税金为￥</w:t>
      </w:r>
      <w:r>
        <w:rPr>
          <w:rFonts w:hint="eastAsia" w:ascii="仿宋" w:hAnsi="仿宋" w:eastAsia="仿宋"/>
          <w:color w:val="auto"/>
          <w:kern w:val="0"/>
          <w:sz w:val="30"/>
          <w:szCs w:val="30"/>
          <w:u w:val="single"/>
          <w:lang w:val="en-US" w:eastAsia="zh-CN"/>
        </w:rPr>
        <w:t xml:space="preserve">   </w:t>
      </w:r>
      <w:r>
        <w:rPr>
          <w:rFonts w:hint="eastAsia" w:ascii="仿宋" w:hAnsi="仿宋" w:eastAsia="仿宋"/>
          <w:color w:val="auto"/>
          <w:kern w:val="0"/>
          <w:sz w:val="30"/>
          <w:szCs w:val="30"/>
          <w:u w:val="single"/>
        </w:rPr>
        <w:t>元</w:t>
      </w:r>
      <w:r>
        <w:rPr>
          <w:rFonts w:hint="eastAsia" w:ascii="仿宋" w:hAnsi="仿宋" w:eastAsia="仿宋"/>
          <w:color w:val="auto"/>
          <w:kern w:val="0"/>
          <w:sz w:val="30"/>
          <w:szCs w:val="30"/>
        </w:rPr>
        <w:t>，不含税金额为￥</w:t>
      </w:r>
      <w:r>
        <w:rPr>
          <w:rFonts w:hint="eastAsia" w:ascii="仿宋" w:hAnsi="仿宋" w:eastAsia="仿宋"/>
          <w:color w:val="auto"/>
          <w:kern w:val="0"/>
          <w:sz w:val="30"/>
          <w:szCs w:val="30"/>
          <w:u w:val="single"/>
          <w:lang w:val="en-US" w:eastAsia="zh-CN"/>
        </w:rPr>
        <w:t xml:space="preserve">   </w:t>
      </w:r>
      <w:r>
        <w:rPr>
          <w:rFonts w:hint="eastAsia" w:ascii="仿宋" w:hAnsi="仿宋" w:eastAsia="仿宋"/>
          <w:color w:val="auto"/>
          <w:kern w:val="0"/>
          <w:sz w:val="30"/>
          <w:szCs w:val="30"/>
          <w:u w:val="single"/>
        </w:rPr>
        <w:t>元</w:t>
      </w:r>
      <w:r>
        <w:rPr>
          <w:rFonts w:hint="eastAsia" w:ascii="仿宋" w:hAnsi="仿宋" w:eastAsia="仿宋"/>
          <w:color w:val="auto"/>
          <w:kern w:val="0"/>
          <w:sz w:val="30"/>
          <w:szCs w:val="30"/>
        </w:rPr>
        <w:t>。</w:t>
      </w:r>
      <w:r>
        <w:rPr>
          <w:rFonts w:ascii="仿宋" w:hAnsi="仿宋" w:eastAsia="仿宋"/>
          <w:color w:val="auto"/>
          <w:kern w:val="0"/>
          <w:sz w:val="30"/>
          <w:szCs w:val="30"/>
        </w:rPr>
        <w:t>以上维保费用包括但不限于维保人员人工费用、技术服务费、按合同约定由乙方承担的维保材料费用、乙方维保人员的人身安全保险费用、乙方向甲方提供培训的费用、利润、税金等</w:t>
      </w:r>
      <w:r>
        <w:rPr>
          <w:rFonts w:hint="eastAsia" w:ascii="仿宋" w:hAnsi="仿宋" w:eastAsia="仿宋"/>
          <w:color w:val="auto"/>
          <w:kern w:val="0"/>
          <w:sz w:val="30"/>
          <w:szCs w:val="30"/>
        </w:rPr>
        <w:t>乙方完成本合同项下全部义务的所有费用</w:t>
      </w:r>
      <w:r>
        <w:rPr>
          <w:rFonts w:ascii="仿宋" w:hAnsi="仿宋" w:eastAsia="仿宋"/>
          <w:color w:val="auto"/>
          <w:kern w:val="0"/>
          <w:sz w:val="30"/>
          <w:szCs w:val="30"/>
        </w:rPr>
        <w:t>。</w:t>
      </w:r>
    </w:p>
    <w:p w14:paraId="79E11B77">
      <w:pPr>
        <w:keepNext w:val="0"/>
        <w:keepLines w:val="0"/>
        <w:pageBreakBefore w:val="0"/>
        <w:widowControl/>
        <w:kinsoku/>
        <w:wordWrap/>
        <w:overflowPunct/>
        <w:topLinePunct w:val="0"/>
        <w:autoSpaceDE/>
        <w:autoSpaceDN/>
        <w:bidi w:val="0"/>
        <w:adjustRightInd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（二）</w:t>
      </w:r>
      <w:r>
        <w:rPr>
          <w:rFonts w:ascii="仿宋" w:hAnsi="仿宋" w:eastAsia="仿宋"/>
          <w:color w:val="auto"/>
          <w:kern w:val="0"/>
          <w:sz w:val="30"/>
          <w:szCs w:val="30"/>
        </w:rPr>
        <w:t>付款方式：</w:t>
      </w:r>
    </w:p>
    <w:p w14:paraId="4BD7E00E">
      <w:pPr>
        <w:keepNext w:val="0"/>
        <w:keepLines w:val="0"/>
        <w:pageBreakBefore w:val="0"/>
        <w:widowControl/>
        <w:kinsoku/>
        <w:wordWrap/>
        <w:overflowPunct/>
        <w:topLinePunct w:val="0"/>
        <w:autoSpaceDE/>
        <w:autoSpaceDN/>
        <w:bidi w:val="0"/>
        <w:adjustRightInd w:val="0"/>
        <w:snapToGrid w:val="0"/>
        <w:spacing w:line="480" w:lineRule="exact"/>
        <w:ind w:right="-483" w:rightChars="-230"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1</w:t>
      </w:r>
      <w:r>
        <w:rPr>
          <w:rFonts w:hint="eastAsia" w:ascii="仿宋" w:hAnsi="仿宋" w:eastAsia="仿宋"/>
          <w:color w:val="auto"/>
          <w:kern w:val="0"/>
          <w:sz w:val="30"/>
          <w:szCs w:val="30"/>
          <w:lang w:val="en-US" w:eastAsia="zh-CN"/>
        </w:rPr>
        <w:t>.</w:t>
      </w:r>
      <w:r>
        <w:rPr>
          <w:rFonts w:hint="eastAsia" w:ascii="仿宋" w:hAnsi="仿宋" w:eastAsia="仿宋"/>
          <w:color w:val="auto"/>
          <w:kern w:val="0"/>
          <w:sz w:val="30"/>
          <w:szCs w:val="30"/>
        </w:rPr>
        <w:t>甲</w:t>
      </w:r>
      <w:r>
        <w:rPr>
          <w:rFonts w:ascii="仿宋" w:hAnsi="仿宋" w:eastAsia="仿宋"/>
          <w:color w:val="auto"/>
          <w:kern w:val="0"/>
          <w:sz w:val="30"/>
          <w:szCs w:val="30"/>
        </w:rPr>
        <w:t>方</w:t>
      </w:r>
      <w:r>
        <w:rPr>
          <w:rFonts w:hint="eastAsia" w:ascii="仿宋" w:hAnsi="仿宋" w:eastAsia="仿宋"/>
          <w:color w:val="auto"/>
          <w:kern w:val="0"/>
          <w:sz w:val="30"/>
          <w:szCs w:val="30"/>
        </w:rPr>
        <w:t>按</w:t>
      </w:r>
      <w:r>
        <w:rPr>
          <w:rFonts w:hint="eastAsia" w:ascii="仿宋" w:hAnsi="仿宋" w:eastAsia="仿宋"/>
          <w:color w:val="auto"/>
          <w:kern w:val="0"/>
          <w:sz w:val="30"/>
          <w:szCs w:val="30"/>
          <w:u w:val="single"/>
        </w:rPr>
        <w:t xml:space="preserve">半年度 </w:t>
      </w:r>
      <w:r>
        <w:rPr>
          <w:rFonts w:ascii="仿宋" w:hAnsi="仿宋" w:eastAsia="仿宋"/>
          <w:color w:val="auto"/>
          <w:kern w:val="0"/>
          <w:sz w:val="30"/>
          <w:szCs w:val="30"/>
        </w:rPr>
        <w:t>结算乙方的服务费用。</w:t>
      </w:r>
      <w:r>
        <w:rPr>
          <w:rFonts w:hint="eastAsia" w:ascii="仿宋" w:hAnsi="仿宋" w:eastAsia="仿宋"/>
          <w:color w:val="auto"/>
          <w:kern w:val="0"/>
          <w:sz w:val="30"/>
          <w:szCs w:val="30"/>
        </w:rPr>
        <w:t>中马广场（除</w:t>
      </w:r>
      <w:r>
        <w:rPr>
          <w:rFonts w:ascii="仿宋" w:hAnsi="仿宋" w:eastAsia="仿宋"/>
          <w:color w:val="auto"/>
          <w:kern w:val="0"/>
          <w:sz w:val="30"/>
          <w:szCs w:val="30"/>
        </w:rPr>
        <w:t>3#</w:t>
      </w:r>
      <w:r>
        <w:rPr>
          <w:rFonts w:hint="eastAsia" w:ascii="仿宋" w:hAnsi="仿宋" w:eastAsia="仿宋"/>
          <w:color w:val="auto"/>
          <w:kern w:val="0"/>
          <w:sz w:val="30"/>
          <w:szCs w:val="30"/>
        </w:rPr>
        <w:t>酒店）</w:t>
      </w:r>
      <w:r>
        <w:rPr>
          <w:rFonts w:ascii="仿宋" w:hAnsi="仿宋" w:eastAsia="仿宋"/>
          <w:color w:val="auto"/>
          <w:kern w:val="0"/>
          <w:sz w:val="30"/>
          <w:szCs w:val="30"/>
        </w:rPr>
        <w:t>项目</w:t>
      </w:r>
      <w:r>
        <w:rPr>
          <w:rFonts w:hint="eastAsia" w:ascii="仿宋" w:hAnsi="仿宋" w:eastAsia="仿宋"/>
          <w:color w:val="auto"/>
          <w:kern w:val="0"/>
          <w:sz w:val="30"/>
          <w:szCs w:val="30"/>
        </w:rPr>
        <w:t>半年</w:t>
      </w:r>
      <w:r>
        <w:rPr>
          <w:rFonts w:ascii="仿宋" w:hAnsi="仿宋" w:eastAsia="仿宋"/>
          <w:color w:val="auto"/>
          <w:kern w:val="0"/>
          <w:sz w:val="30"/>
          <w:szCs w:val="30"/>
        </w:rPr>
        <w:t>度含税服务费为</w:t>
      </w:r>
      <w:r>
        <w:rPr>
          <w:rFonts w:hint="eastAsia" w:ascii="仿宋" w:hAnsi="仿宋" w:eastAsia="仿宋"/>
          <w:color w:val="auto"/>
          <w:kern w:val="0"/>
          <w:sz w:val="30"/>
          <w:szCs w:val="30"/>
        </w:rPr>
        <w:t>￥</w:t>
      </w:r>
      <w:r>
        <w:rPr>
          <w:rFonts w:ascii="仿宋" w:hAnsi="仿宋" w:eastAsia="仿宋"/>
          <w:color w:val="auto"/>
          <w:kern w:val="0"/>
          <w:sz w:val="30"/>
          <w:szCs w:val="30"/>
          <w:u w:val="single"/>
        </w:rPr>
        <w:t xml:space="preserve"> </w:t>
      </w:r>
      <w:r>
        <w:rPr>
          <w:rFonts w:hint="eastAsia" w:ascii="仿宋" w:hAnsi="仿宋" w:eastAsia="仿宋"/>
          <w:color w:val="auto"/>
          <w:kern w:val="0"/>
          <w:sz w:val="30"/>
          <w:szCs w:val="30"/>
          <w:u w:val="single"/>
          <w:lang w:val="en-US" w:eastAsia="zh-CN"/>
        </w:rPr>
        <w:t xml:space="preserve">    </w:t>
      </w:r>
      <w:r>
        <w:rPr>
          <w:rFonts w:hint="eastAsia" w:ascii="仿宋" w:hAnsi="仿宋" w:eastAsia="仿宋"/>
          <w:color w:val="auto"/>
          <w:kern w:val="0"/>
          <w:sz w:val="30"/>
          <w:szCs w:val="30"/>
        </w:rPr>
        <w:t>元（大写人民币：</w:t>
      </w:r>
      <w:r>
        <w:rPr>
          <w:rFonts w:hint="eastAsia" w:ascii="仿宋" w:hAnsi="仿宋" w:eastAsia="仿宋"/>
          <w:color w:val="auto"/>
          <w:kern w:val="0"/>
          <w:sz w:val="30"/>
          <w:szCs w:val="30"/>
          <w:u w:val="single"/>
          <w:lang w:val="en-US" w:eastAsia="zh-CN"/>
        </w:rPr>
        <w:t xml:space="preserve">   </w:t>
      </w:r>
      <w:r>
        <w:rPr>
          <w:rFonts w:ascii="仿宋" w:hAnsi="仿宋" w:eastAsia="仿宋"/>
          <w:color w:val="auto"/>
          <w:kern w:val="0"/>
          <w:sz w:val="30"/>
          <w:szCs w:val="30"/>
          <w:u w:val="single"/>
        </w:rPr>
        <w:t>)</w:t>
      </w:r>
      <w:r>
        <w:rPr>
          <w:rFonts w:hint="eastAsia" w:ascii="仿宋" w:hAnsi="仿宋" w:eastAsia="仿宋"/>
          <w:color w:val="auto"/>
          <w:kern w:val="0"/>
          <w:sz w:val="30"/>
          <w:szCs w:val="30"/>
        </w:rPr>
        <w:t>。乙方每月提交月度维保报告（维保报告模板详见附件二），季度维保周期工作结束后，甲方根据乙方保养工作情况打分评价（消防系统维保服务季度考核评分标准详见附件三、六），季度评价</w:t>
      </w:r>
      <w:r>
        <w:rPr>
          <w:rFonts w:hint="eastAsia" w:ascii="仿宋" w:hAnsi="仿宋" w:eastAsia="仿宋"/>
          <w:color w:val="auto"/>
          <w:kern w:val="0"/>
          <w:sz w:val="30"/>
          <w:szCs w:val="30"/>
          <w:u w:val="single"/>
        </w:rPr>
        <w:t xml:space="preserve"> 75分 </w:t>
      </w:r>
      <w:r>
        <w:rPr>
          <w:rFonts w:hint="eastAsia" w:ascii="仿宋" w:hAnsi="仿宋" w:eastAsia="仿宋"/>
          <w:color w:val="auto"/>
          <w:kern w:val="0"/>
          <w:sz w:val="30"/>
          <w:szCs w:val="30"/>
        </w:rPr>
        <w:t>以上全额支付上季度维保费，低于</w:t>
      </w:r>
      <w:r>
        <w:rPr>
          <w:rFonts w:hint="eastAsia" w:ascii="仿宋" w:hAnsi="仿宋" w:eastAsia="仿宋"/>
          <w:color w:val="auto"/>
          <w:kern w:val="0"/>
          <w:sz w:val="30"/>
          <w:szCs w:val="30"/>
          <w:u w:val="single"/>
        </w:rPr>
        <w:t xml:space="preserve"> 60分</w:t>
      </w:r>
      <w:r>
        <w:rPr>
          <w:rFonts w:hint="eastAsia" w:ascii="仿宋" w:hAnsi="仿宋" w:eastAsia="仿宋"/>
          <w:color w:val="auto"/>
          <w:kern w:val="0"/>
          <w:sz w:val="30"/>
          <w:szCs w:val="30"/>
        </w:rPr>
        <w:t xml:space="preserve"> ，按每低</w:t>
      </w:r>
      <w:r>
        <w:rPr>
          <w:rFonts w:hint="eastAsia" w:ascii="仿宋" w:hAnsi="仿宋" w:eastAsia="仿宋"/>
          <w:color w:val="auto"/>
          <w:kern w:val="0"/>
          <w:sz w:val="30"/>
          <w:szCs w:val="30"/>
          <w:u w:val="single"/>
        </w:rPr>
        <w:t xml:space="preserve"> 1分 </w:t>
      </w:r>
      <w:r>
        <w:rPr>
          <w:rFonts w:hint="eastAsia" w:ascii="仿宋" w:hAnsi="仿宋" w:eastAsia="仿宋"/>
          <w:color w:val="auto"/>
          <w:kern w:val="0"/>
          <w:sz w:val="30"/>
          <w:szCs w:val="30"/>
        </w:rPr>
        <w:t>扣除当季度含税维保服务费</w:t>
      </w:r>
      <w:r>
        <w:rPr>
          <w:rFonts w:hint="eastAsia" w:ascii="仿宋" w:hAnsi="仿宋" w:eastAsia="仿宋"/>
          <w:color w:val="auto"/>
          <w:kern w:val="0"/>
          <w:sz w:val="30"/>
          <w:szCs w:val="30"/>
          <w:u w:val="single"/>
        </w:rPr>
        <w:t xml:space="preserve"> 1% </w:t>
      </w:r>
      <w:r>
        <w:rPr>
          <w:rFonts w:hint="eastAsia" w:ascii="仿宋" w:hAnsi="仿宋" w:eastAsia="仿宋"/>
          <w:color w:val="auto"/>
          <w:kern w:val="0"/>
          <w:sz w:val="30"/>
          <w:szCs w:val="30"/>
        </w:rPr>
        <w:t>计算，并在支付时扣减结算。</w:t>
      </w:r>
    </w:p>
    <w:p w14:paraId="60062F9D">
      <w:pPr>
        <w:keepNext w:val="0"/>
        <w:keepLines w:val="0"/>
        <w:pageBreakBefore w:val="0"/>
        <w:widowControl/>
        <w:kinsoku/>
        <w:wordWrap/>
        <w:overflowPunct/>
        <w:topLinePunct w:val="0"/>
        <w:autoSpaceDE/>
        <w:autoSpaceDN/>
        <w:bidi w:val="0"/>
        <w:adjustRightInd w:val="0"/>
        <w:snapToGrid w:val="0"/>
        <w:spacing w:line="480" w:lineRule="exact"/>
        <w:ind w:right="-483" w:rightChars="-230"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2</w:t>
      </w:r>
      <w:r>
        <w:rPr>
          <w:rFonts w:hint="eastAsia" w:ascii="仿宋" w:hAnsi="仿宋" w:eastAsia="仿宋"/>
          <w:color w:val="auto"/>
          <w:kern w:val="0"/>
          <w:sz w:val="30"/>
          <w:szCs w:val="30"/>
          <w:lang w:val="en-US" w:eastAsia="zh-CN"/>
        </w:rPr>
        <w:t>.</w:t>
      </w:r>
      <w:r>
        <w:rPr>
          <w:rFonts w:hint="eastAsia" w:ascii="仿宋" w:hAnsi="仿宋" w:eastAsia="仿宋"/>
          <w:color w:val="auto"/>
          <w:kern w:val="0"/>
          <w:sz w:val="30"/>
          <w:szCs w:val="30"/>
        </w:rPr>
        <w:t>本合同终止或解除前，如果乙方尚有未解决的相关违约、赔偿等纠纷，则甲方有权顺延支付合同终止或解除前应付而未付给乙方的合同款项，且不视为甲方违约。待相关违约、赔偿等纠纷处理完毕，甲方扣除违约金、赔偿金等费用后将剩余合同款项支付给乙方；如前述应付而未付的合同款项不足抵扣乙方应承担的违约金、赔偿金等费用的，则乙方应全额赔偿给甲方。</w:t>
      </w:r>
    </w:p>
    <w:p w14:paraId="436EFE5C">
      <w:pPr>
        <w:keepNext w:val="0"/>
        <w:keepLines w:val="0"/>
        <w:pageBreakBefore w:val="0"/>
        <w:widowControl/>
        <w:kinsoku/>
        <w:wordWrap/>
        <w:overflowPunct/>
        <w:topLinePunct w:val="0"/>
        <w:autoSpaceDE/>
        <w:autoSpaceDN/>
        <w:bidi w:val="0"/>
        <w:adjustRightInd w:val="0"/>
        <w:snapToGrid w:val="0"/>
        <w:spacing w:line="480" w:lineRule="exact"/>
        <w:ind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3</w:t>
      </w:r>
      <w:r>
        <w:rPr>
          <w:rFonts w:hint="eastAsia" w:ascii="仿宋" w:hAnsi="仿宋" w:eastAsia="仿宋"/>
          <w:color w:val="auto"/>
          <w:kern w:val="0"/>
          <w:sz w:val="30"/>
          <w:szCs w:val="30"/>
          <w:lang w:val="en-US" w:eastAsia="zh-CN"/>
        </w:rPr>
        <w:t>.</w:t>
      </w:r>
      <w:r>
        <w:rPr>
          <w:rFonts w:ascii="仿宋" w:hAnsi="仿宋" w:eastAsia="仿宋"/>
          <w:color w:val="auto"/>
          <w:kern w:val="0"/>
          <w:sz w:val="30"/>
          <w:szCs w:val="30"/>
        </w:rPr>
        <w:t>乙方须在</w:t>
      </w:r>
      <w:r>
        <w:rPr>
          <w:rFonts w:hint="eastAsia" w:ascii="仿宋" w:hAnsi="仿宋" w:eastAsia="仿宋"/>
          <w:color w:val="auto"/>
          <w:kern w:val="0"/>
          <w:sz w:val="30"/>
          <w:szCs w:val="30"/>
        </w:rPr>
        <w:t>半年</w:t>
      </w:r>
      <w:r>
        <w:rPr>
          <w:rFonts w:ascii="仿宋" w:hAnsi="仿宋" w:eastAsia="仿宋"/>
          <w:color w:val="auto"/>
          <w:kern w:val="0"/>
          <w:sz w:val="30"/>
          <w:szCs w:val="30"/>
        </w:rPr>
        <w:t>度维保周期工作结束并由甲方验收合格后</w:t>
      </w:r>
      <w:r>
        <w:rPr>
          <w:rFonts w:ascii="仿宋" w:hAnsi="仿宋" w:eastAsia="仿宋"/>
          <w:color w:val="auto"/>
          <w:kern w:val="0"/>
          <w:sz w:val="30"/>
          <w:szCs w:val="30"/>
          <w:u w:val="single"/>
        </w:rPr>
        <w:t xml:space="preserve"> 15个自然日 </w:t>
      </w:r>
      <w:r>
        <w:rPr>
          <w:rFonts w:hint="eastAsia" w:ascii="仿宋" w:hAnsi="仿宋" w:eastAsia="仿宋"/>
          <w:color w:val="auto"/>
          <w:kern w:val="0"/>
          <w:sz w:val="30"/>
          <w:szCs w:val="30"/>
        </w:rPr>
        <w:t>内开具并</w:t>
      </w:r>
      <w:r>
        <w:rPr>
          <w:rFonts w:ascii="仿宋" w:hAnsi="仿宋" w:eastAsia="仿宋"/>
          <w:color w:val="auto"/>
          <w:kern w:val="0"/>
          <w:sz w:val="30"/>
          <w:szCs w:val="30"/>
        </w:rPr>
        <w:t>提供与结算金额等额且合法有效增值税专用发票，甲方审核无误后</w:t>
      </w:r>
      <w:r>
        <w:rPr>
          <w:rFonts w:ascii="仿宋" w:hAnsi="仿宋" w:eastAsia="仿宋"/>
          <w:color w:val="auto"/>
          <w:kern w:val="0"/>
          <w:sz w:val="30"/>
          <w:szCs w:val="30"/>
          <w:u w:val="single"/>
        </w:rPr>
        <w:t xml:space="preserve"> 30日 </w:t>
      </w:r>
      <w:r>
        <w:rPr>
          <w:rFonts w:hint="eastAsia" w:ascii="仿宋" w:hAnsi="仿宋" w:eastAsia="仿宋"/>
          <w:color w:val="auto"/>
          <w:kern w:val="0"/>
          <w:sz w:val="30"/>
          <w:szCs w:val="30"/>
        </w:rPr>
        <w:t>内付款，乙方相应增值税专用发票应在开具后的</w:t>
      </w:r>
      <w:r>
        <w:rPr>
          <w:rFonts w:ascii="仿宋" w:hAnsi="仿宋" w:eastAsia="仿宋"/>
          <w:color w:val="auto"/>
          <w:kern w:val="0"/>
          <w:sz w:val="30"/>
          <w:szCs w:val="30"/>
          <w:u w:val="single"/>
        </w:rPr>
        <w:t xml:space="preserve"> 15个自然日 </w:t>
      </w:r>
      <w:r>
        <w:rPr>
          <w:rFonts w:hint="eastAsia" w:ascii="仿宋" w:hAnsi="仿宋" w:eastAsia="仿宋"/>
          <w:color w:val="auto"/>
          <w:kern w:val="0"/>
          <w:sz w:val="30"/>
          <w:szCs w:val="30"/>
        </w:rPr>
        <w:t>内提交至甲方，否则甲方有权拒收发票，并不承担任何违约责任，</w:t>
      </w:r>
      <w:r>
        <w:rPr>
          <w:rFonts w:ascii="仿宋" w:hAnsi="仿宋" w:eastAsia="仿宋"/>
          <w:color w:val="auto"/>
          <w:kern w:val="0"/>
          <w:sz w:val="30"/>
          <w:szCs w:val="30"/>
        </w:rPr>
        <w:t>如乙方未提供或提供发票无效的，甲方可以迟延付款至乙方提供符合要求的资料之后。</w:t>
      </w:r>
    </w:p>
    <w:p w14:paraId="18C9FC2F">
      <w:pPr>
        <w:keepNext w:val="0"/>
        <w:keepLines w:val="0"/>
        <w:pageBreakBefore w:val="0"/>
        <w:widowControl/>
        <w:kinsoku/>
        <w:wordWrap/>
        <w:overflowPunct/>
        <w:topLinePunct w:val="0"/>
        <w:bidi w:val="0"/>
        <w:adjustRightInd w:val="0"/>
        <w:snapToGrid w:val="0"/>
        <w:spacing w:before="240" w:line="480" w:lineRule="exact"/>
        <w:ind w:firstLine="600" w:firstLineChars="200"/>
        <w:textAlignment w:val="auto"/>
        <w:rPr>
          <w:rFonts w:ascii="仿宋" w:hAnsi="仿宋" w:eastAsia="仿宋"/>
          <w:color w:val="auto"/>
          <w:kern w:val="0"/>
          <w:sz w:val="30"/>
          <w:szCs w:val="30"/>
        </w:rPr>
      </w:pPr>
      <w:r>
        <w:rPr>
          <w:rFonts w:ascii="仿宋" w:hAnsi="仿宋" w:eastAsia="仿宋"/>
          <w:color w:val="auto"/>
          <w:kern w:val="0"/>
          <w:sz w:val="30"/>
          <w:szCs w:val="30"/>
        </w:rPr>
        <w:t>乙方银行账户信息如下：</w:t>
      </w:r>
    </w:p>
    <w:p w14:paraId="0D6528D4">
      <w:pPr>
        <w:keepNext w:val="0"/>
        <w:keepLines w:val="0"/>
        <w:pageBreakBefore w:val="0"/>
        <w:kinsoku/>
        <w:wordWrap/>
        <w:overflowPunct/>
        <w:topLinePunct w:val="0"/>
        <w:autoSpaceDE w:val="0"/>
        <w:autoSpaceDN w:val="0"/>
        <w:bidi w:val="0"/>
        <w:adjustRightInd w:val="0"/>
        <w:snapToGrid w:val="0"/>
        <w:spacing w:before="240" w:after="240" w:line="480" w:lineRule="exact"/>
        <w:ind w:firstLine="600" w:firstLineChars="200"/>
        <w:jc w:val="left"/>
        <w:textAlignment w:val="auto"/>
        <w:rPr>
          <w:rFonts w:hint="eastAsia" w:ascii="仿宋" w:hAnsi="仿宋" w:eastAsia="仿宋"/>
          <w:snapToGrid w:val="0"/>
          <w:color w:val="auto"/>
          <w:sz w:val="30"/>
          <w:szCs w:val="30"/>
          <w:lang w:eastAsia="zh-CN"/>
        </w:rPr>
      </w:pPr>
      <w:r>
        <w:rPr>
          <w:rFonts w:ascii="仿宋" w:hAnsi="仿宋" w:eastAsia="仿宋"/>
          <w:snapToGrid w:val="0"/>
          <w:color w:val="auto"/>
          <w:kern w:val="0"/>
          <w:sz w:val="30"/>
          <w:szCs w:val="30"/>
        </w:rPr>
        <w:t>开 户 行：</w:t>
      </w:r>
    </w:p>
    <w:p w14:paraId="4A6415D8">
      <w:pPr>
        <w:keepNext w:val="0"/>
        <w:keepLines w:val="0"/>
        <w:pageBreakBefore w:val="0"/>
        <w:kinsoku/>
        <w:wordWrap/>
        <w:overflowPunct/>
        <w:topLinePunct w:val="0"/>
        <w:autoSpaceDE w:val="0"/>
        <w:autoSpaceDN w:val="0"/>
        <w:bidi w:val="0"/>
        <w:adjustRightInd w:val="0"/>
        <w:snapToGrid w:val="0"/>
        <w:spacing w:before="240" w:after="240" w:line="480" w:lineRule="exact"/>
        <w:ind w:firstLine="600" w:firstLineChars="200"/>
        <w:textAlignment w:val="auto"/>
        <w:rPr>
          <w:rFonts w:hint="eastAsia" w:ascii="仿宋" w:hAnsi="仿宋" w:eastAsia="仿宋"/>
          <w:snapToGrid w:val="0"/>
          <w:color w:val="auto"/>
          <w:sz w:val="30"/>
          <w:szCs w:val="30"/>
          <w:lang w:eastAsia="zh-CN"/>
        </w:rPr>
      </w:pPr>
      <w:r>
        <w:rPr>
          <w:rFonts w:ascii="仿宋" w:hAnsi="仿宋" w:eastAsia="仿宋"/>
          <w:snapToGrid w:val="0"/>
          <w:color w:val="auto"/>
          <w:kern w:val="0"/>
          <w:sz w:val="30"/>
          <w:szCs w:val="30"/>
        </w:rPr>
        <w:t>开户名称：</w:t>
      </w:r>
    </w:p>
    <w:p w14:paraId="75C0D494">
      <w:pPr>
        <w:keepNext w:val="0"/>
        <w:keepLines w:val="0"/>
        <w:pageBreakBefore w:val="0"/>
        <w:widowControl/>
        <w:kinsoku/>
        <w:wordWrap/>
        <w:overflowPunct/>
        <w:topLinePunct w:val="0"/>
        <w:bidi w:val="0"/>
        <w:adjustRightInd w:val="0"/>
        <w:snapToGrid w:val="0"/>
        <w:spacing w:line="480" w:lineRule="exact"/>
        <w:ind w:firstLine="600" w:firstLineChars="200"/>
        <w:textAlignment w:val="auto"/>
        <w:rPr>
          <w:rFonts w:hint="eastAsia" w:ascii="仿宋" w:hAnsi="仿宋" w:eastAsia="仿宋"/>
          <w:color w:val="auto"/>
          <w:kern w:val="0"/>
          <w:sz w:val="30"/>
          <w:szCs w:val="30"/>
          <w:lang w:eastAsia="zh-CN"/>
        </w:rPr>
      </w:pPr>
      <w:r>
        <w:rPr>
          <w:rFonts w:ascii="仿宋" w:hAnsi="仿宋" w:eastAsia="仿宋"/>
          <w:snapToGrid w:val="0"/>
          <w:color w:val="auto"/>
          <w:kern w:val="0"/>
          <w:sz w:val="30"/>
          <w:szCs w:val="30"/>
        </w:rPr>
        <w:t>开户账号：</w:t>
      </w:r>
    </w:p>
    <w:p w14:paraId="540D947D">
      <w:pPr>
        <w:keepNext w:val="0"/>
        <w:keepLines w:val="0"/>
        <w:pageBreakBefore w:val="0"/>
        <w:kinsoku/>
        <w:wordWrap/>
        <w:overflowPunct/>
        <w:topLinePunct w:val="0"/>
        <w:autoSpaceDE w:val="0"/>
        <w:autoSpaceDN w:val="0"/>
        <w:bidi w:val="0"/>
        <w:adjustRightInd w:val="0"/>
        <w:snapToGrid w:val="0"/>
        <w:spacing w:before="240" w:after="240" w:line="480" w:lineRule="exact"/>
        <w:ind w:firstLine="600" w:firstLineChars="200"/>
        <w:textAlignment w:val="auto"/>
        <w:rPr>
          <w:rFonts w:ascii="仿宋" w:hAnsi="仿宋" w:eastAsia="仿宋"/>
          <w:snapToGrid w:val="0"/>
          <w:color w:val="auto"/>
          <w:sz w:val="30"/>
          <w:szCs w:val="30"/>
        </w:rPr>
      </w:pPr>
      <w:r>
        <w:rPr>
          <w:rFonts w:hint="eastAsia" w:ascii="仿宋" w:hAnsi="仿宋" w:eastAsia="仿宋"/>
          <w:snapToGrid w:val="0"/>
          <w:color w:val="auto"/>
          <w:kern w:val="0"/>
          <w:sz w:val="30"/>
          <w:szCs w:val="30"/>
        </w:rPr>
        <w:t>甲方增值税专票开票信息如下：</w:t>
      </w:r>
    </w:p>
    <w:p w14:paraId="403D0994">
      <w:pPr>
        <w:keepNext w:val="0"/>
        <w:keepLines w:val="0"/>
        <w:pageBreakBefore w:val="0"/>
        <w:widowControl/>
        <w:kinsoku/>
        <w:wordWrap/>
        <w:overflowPunct/>
        <w:topLinePunct w:val="0"/>
        <w:bidi w:val="0"/>
        <w:adjustRightInd w:val="0"/>
        <w:snapToGrid w:val="0"/>
        <w:spacing w:before="240" w:line="480" w:lineRule="exact"/>
        <w:ind w:firstLine="600" w:firstLineChars="200"/>
        <w:textAlignment w:val="auto"/>
        <w:rPr>
          <w:rFonts w:hint="eastAsia" w:ascii="仿宋" w:hAnsi="仿宋" w:eastAsia="仿宋"/>
          <w:color w:val="auto"/>
          <w:kern w:val="0"/>
          <w:sz w:val="30"/>
          <w:szCs w:val="30"/>
        </w:rPr>
      </w:pPr>
      <w:r>
        <w:rPr>
          <w:rFonts w:hint="eastAsia" w:ascii="仿宋" w:hAnsi="仿宋" w:eastAsia="仿宋"/>
          <w:color w:val="auto"/>
          <w:kern w:val="0"/>
          <w:sz w:val="30"/>
          <w:szCs w:val="30"/>
        </w:rPr>
        <w:t>公司名称：</w:t>
      </w:r>
    </w:p>
    <w:p w14:paraId="47AD6F38">
      <w:pPr>
        <w:keepNext w:val="0"/>
        <w:keepLines w:val="0"/>
        <w:pageBreakBefore w:val="0"/>
        <w:widowControl/>
        <w:kinsoku/>
        <w:wordWrap/>
        <w:overflowPunct/>
        <w:topLinePunct w:val="0"/>
        <w:bidi w:val="0"/>
        <w:adjustRightInd w:val="0"/>
        <w:snapToGrid w:val="0"/>
        <w:spacing w:before="240" w:line="480" w:lineRule="exact"/>
        <w:ind w:firstLine="600" w:firstLineChars="200"/>
        <w:textAlignment w:val="auto"/>
        <w:rPr>
          <w:rFonts w:hint="eastAsia" w:ascii="仿宋" w:hAnsi="仿宋" w:eastAsia="仿宋"/>
          <w:color w:val="auto"/>
          <w:kern w:val="0"/>
          <w:sz w:val="30"/>
          <w:szCs w:val="30"/>
        </w:rPr>
      </w:pPr>
      <w:r>
        <w:rPr>
          <w:rFonts w:hint="eastAsia" w:ascii="仿宋" w:hAnsi="仿宋" w:eastAsia="仿宋"/>
          <w:color w:val="auto"/>
          <w:kern w:val="0"/>
          <w:sz w:val="30"/>
          <w:szCs w:val="30"/>
        </w:rPr>
        <w:t>公司税号：</w:t>
      </w:r>
    </w:p>
    <w:p w14:paraId="0B981C27">
      <w:pPr>
        <w:keepNext w:val="0"/>
        <w:keepLines w:val="0"/>
        <w:pageBreakBefore w:val="0"/>
        <w:widowControl/>
        <w:kinsoku/>
        <w:wordWrap/>
        <w:overflowPunct/>
        <w:topLinePunct w:val="0"/>
        <w:bidi w:val="0"/>
        <w:adjustRightInd w:val="0"/>
        <w:snapToGrid w:val="0"/>
        <w:spacing w:before="240" w:line="480" w:lineRule="exact"/>
        <w:ind w:firstLine="600" w:firstLineChars="200"/>
        <w:textAlignment w:val="auto"/>
        <w:rPr>
          <w:rFonts w:hint="eastAsia" w:ascii="仿宋" w:hAnsi="仿宋" w:eastAsia="仿宋"/>
          <w:color w:val="auto"/>
          <w:kern w:val="0"/>
          <w:sz w:val="30"/>
          <w:szCs w:val="30"/>
        </w:rPr>
      </w:pPr>
      <w:r>
        <w:rPr>
          <w:rFonts w:hint="eastAsia" w:ascii="仿宋" w:hAnsi="仿宋" w:eastAsia="仿宋"/>
          <w:color w:val="auto"/>
          <w:kern w:val="0"/>
          <w:sz w:val="30"/>
          <w:szCs w:val="30"/>
        </w:rPr>
        <w:t>开户银行：</w:t>
      </w:r>
    </w:p>
    <w:p w14:paraId="7C944873">
      <w:pPr>
        <w:keepNext w:val="0"/>
        <w:keepLines w:val="0"/>
        <w:pageBreakBefore w:val="0"/>
        <w:widowControl/>
        <w:kinsoku/>
        <w:wordWrap/>
        <w:overflowPunct/>
        <w:topLinePunct w:val="0"/>
        <w:bidi w:val="0"/>
        <w:adjustRightInd w:val="0"/>
        <w:snapToGrid w:val="0"/>
        <w:spacing w:before="240" w:line="480" w:lineRule="exact"/>
        <w:ind w:firstLine="600" w:firstLineChars="200"/>
        <w:textAlignment w:val="auto"/>
        <w:rPr>
          <w:rFonts w:hint="eastAsia" w:ascii="仿宋" w:hAnsi="仿宋" w:eastAsia="仿宋"/>
          <w:color w:val="auto"/>
          <w:kern w:val="0"/>
          <w:sz w:val="30"/>
          <w:szCs w:val="30"/>
        </w:rPr>
      </w:pPr>
      <w:r>
        <w:rPr>
          <w:rFonts w:hint="eastAsia" w:ascii="仿宋" w:hAnsi="仿宋" w:eastAsia="仿宋"/>
          <w:color w:val="auto"/>
          <w:kern w:val="0"/>
          <w:sz w:val="30"/>
          <w:szCs w:val="30"/>
          <w:lang w:val="en-US" w:eastAsia="zh-CN"/>
        </w:rPr>
        <w:t>开户账号</w:t>
      </w:r>
      <w:r>
        <w:rPr>
          <w:rFonts w:hint="eastAsia" w:ascii="仿宋" w:hAnsi="仿宋" w:eastAsia="仿宋"/>
          <w:color w:val="auto"/>
          <w:kern w:val="0"/>
          <w:sz w:val="30"/>
          <w:szCs w:val="30"/>
          <w:lang w:eastAsia="zh-CN"/>
        </w:rPr>
        <w:t>：</w:t>
      </w:r>
    </w:p>
    <w:p w14:paraId="223A92CC">
      <w:pPr>
        <w:keepNext w:val="0"/>
        <w:keepLines w:val="0"/>
        <w:pageBreakBefore w:val="0"/>
        <w:widowControl/>
        <w:kinsoku/>
        <w:wordWrap/>
        <w:overflowPunct/>
        <w:topLinePunct w:val="0"/>
        <w:bidi w:val="0"/>
        <w:adjustRightInd w:val="0"/>
        <w:snapToGrid w:val="0"/>
        <w:spacing w:before="240" w:line="480" w:lineRule="exact"/>
        <w:ind w:firstLine="600" w:firstLineChars="200"/>
        <w:textAlignment w:val="auto"/>
        <w:rPr>
          <w:rFonts w:hint="eastAsia" w:ascii="仿宋" w:hAnsi="仿宋" w:eastAsia="仿宋"/>
          <w:color w:val="auto"/>
          <w:kern w:val="0"/>
          <w:sz w:val="30"/>
          <w:szCs w:val="30"/>
        </w:rPr>
      </w:pPr>
      <w:r>
        <w:rPr>
          <w:rFonts w:hint="eastAsia" w:ascii="仿宋" w:hAnsi="仿宋" w:eastAsia="仿宋"/>
          <w:color w:val="auto"/>
          <w:kern w:val="0"/>
          <w:sz w:val="30"/>
          <w:szCs w:val="30"/>
        </w:rPr>
        <w:t>地</w:t>
      </w:r>
      <w:r>
        <w:rPr>
          <w:rFonts w:hint="eastAsia" w:ascii="仿宋" w:hAnsi="仿宋" w:eastAsia="仿宋"/>
          <w:color w:val="auto"/>
          <w:kern w:val="0"/>
          <w:sz w:val="30"/>
          <w:szCs w:val="30"/>
          <w:lang w:val="en-US" w:eastAsia="zh-CN"/>
        </w:rPr>
        <w:t xml:space="preserve"> </w:t>
      </w:r>
      <w:r>
        <w:rPr>
          <w:rFonts w:hint="eastAsia" w:ascii="仿宋" w:hAnsi="仿宋" w:eastAsia="仿宋"/>
          <w:color w:val="auto"/>
          <w:kern w:val="0"/>
          <w:sz w:val="30"/>
          <w:szCs w:val="30"/>
        </w:rPr>
        <w:t>址：</w:t>
      </w:r>
    </w:p>
    <w:p w14:paraId="1CF0B74B">
      <w:pPr>
        <w:keepNext w:val="0"/>
        <w:keepLines w:val="0"/>
        <w:pageBreakBefore w:val="0"/>
        <w:widowControl/>
        <w:kinsoku/>
        <w:wordWrap/>
        <w:overflowPunct/>
        <w:topLinePunct w:val="0"/>
        <w:bidi w:val="0"/>
        <w:adjustRightInd w:val="0"/>
        <w:snapToGrid w:val="0"/>
        <w:spacing w:before="240" w:line="480" w:lineRule="exact"/>
        <w:ind w:firstLine="600" w:firstLineChars="200"/>
        <w:textAlignment w:val="auto"/>
        <w:rPr>
          <w:rFonts w:hint="eastAsia" w:ascii="仿宋" w:hAnsi="仿宋" w:eastAsia="仿宋"/>
          <w:color w:val="auto"/>
          <w:kern w:val="0"/>
          <w:sz w:val="30"/>
          <w:szCs w:val="30"/>
        </w:rPr>
      </w:pPr>
      <w:r>
        <w:rPr>
          <w:rFonts w:hint="eastAsia" w:ascii="仿宋" w:hAnsi="仿宋" w:eastAsia="仿宋"/>
          <w:color w:val="auto"/>
          <w:kern w:val="0"/>
          <w:sz w:val="30"/>
          <w:szCs w:val="30"/>
        </w:rPr>
        <w:t>电</w:t>
      </w:r>
      <w:r>
        <w:rPr>
          <w:rFonts w:hint="eastAsia" w:ascii="仿宋" w:hAnsi="仿宋" w:eastAsia="仿宋"/>
          <w:color w:val="auto"/>
          <w:kern w:val="0"/>
          <w:sz w:val="30"/>
          <w:szCs w:val="30"/>
          <w:lang w:val="en-US" w:eastAsia="zh-CN"/>
        </w:rPr>
        <w:t xml:space="preserve"> </w:t>
      </w:r>
      <w:r>
        <w:rPr>
          <w:rFonts w:hint="eastAsia" w:ascii="仿宋" w:hAnsi="仿宋" w:eastAsia="仿宋"/>
          <w:color w:val="auto"/>
          <w:kern w:val="0"/>
          <w:sz w:val="30"/>
          <w:szCs w:val="30"/>
        </w:rPr>
        <w:t>话：</w:t>
      </w:r>
    </w:p>
    <w:p w14:paraId="4B4784AF">
      <w:pPr>
        <w:keepNext w:val="0"/>
        <w:keepLines w:val="0"/>
        <w:pageBreakBefore w:val="0"/>
        <w:widowControl/>
        <w:kinsoku/>
        <w:wordWrap/>
        <w:overflowPunct/>
        <w:topLinePunct w:val="0"/>
        <w:autoSpaceDE/>
        <w:autoSpaceDN/>
        <w:bidi w:val="0"/>
        <w:adjustRightInd w:val="0"/>
        <w:snapToGrid w:val="0"/>
        <w:spacing w:line="480" w:lineRule="exact"/>
        <w:ind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4</w:t>
      </w:r>
      <w:r>
        <w:rPr>
          <w:rFonts w:hint="eastAsia" w:ascii="仿宋" w:hAnsi="仿宋" w:eastAsia="仿宋"/>
          <w:color w:val="auto"/>
          <w:kern w:val="0"/>
          <w:sz w:val="30"/>
          <w:szCs w:val="30"/>
          <w:lang w:val="en-US" w:eastAsia="zh-CN"/>
        </w:rPr>
        <w:t>.</w:t>
      </w:r>
      <w:r>
        <w:rPr>
          <w:rFonts w:hint="eastAsia" w:ascii="仿宋" w:hAnsi="仿宋" w:eastAsia="仿宋"/>
          <w:color w:val="auto"/>
          <w:kern w:val="0"/>
          <w:sz w:val="30"/>
          <w:szCs w:val="30"/>
        </w:rPr>
        <w:t>如由于乙方不能按照本合同的约定开具并提交增值税发票或其他乙方原因造成甲方因无法抵扣增值税及相应税额而蒙受经济损失，则乙方应承担赔偿责任。甲方有权自应付价款中优先扣除乙方应支付的赔偿金。</w:t>
      </w:r>
    </w:p>
    <w:p w14:paraId="54340D5C">
      <w:pPr>
        <w:keepNext w:val="0"/>
        <w:keepLines w:val="0"/>
        <w:pageBreakBefore w:val="0"/>
        <w:widowControl/>
        <w:kinsoku/>
        <w:wordWrap/>
        <w:overflowPunct/>
        <w:topLinePunct w:val="0"/>
        <w:autoSpaceDE/>
        <w:autoSpaceDN/>
        <w:bidi w:val="0"/>
        <w:adjustRightInd w:val="0"/>
        <w:snapToGrid w:val="0"/>
        <w:spacing w:line="480" w:lineRule="exact"/>
        <w:ind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5</w:t>
      </w:r>
      <w:r>
        <w:rPr>
          <w:rFonts w:hint="eastAsia" w:ascii="仿宋" w:hAnsi="仿宋" w:eastAsia="仿宋"/>
          <w:color w:val="auto"/>
          <w:kern w:val="0"/>
          <w:sz w:val="30"/>
          <w:szCs w:val="30"/>
          <w:lang w:val="en-US" w:eastAsia="zh-CN"/>
        </w:rPr>
        <w:t>.</w:t>
      </w:r>
      <w:r>
        <w:rPr>
          <w:rFonts w:ascii="仿宋" w:hAnsi="仿宋" w:eastAsia="仿宋"/>
          <w:color w:val="auto"/>
          <w:kern w:val="0"/>
          <w:sz w:val="30"/>
          <w:szCs w:val="30"/>
        </w:rPr>
        <w:t>甲方与乙方的价款结算只能通过甲方的账户与乙方的账户进行划转，不能通过此外的任何第三方账户进行价款结算。</w:t>
      </w:r>
    </w:p>
    <w:p w14:paraId="10C1D325">
      <w:pPr>
        <w:keepNext w:val="0"/>
        <w:keepLines w:val="0"/>
        <w:pageBreakBefore w:val="0"/>
        <w:widowControl/>
        <w:kinsoku/>
        <w:wordWrap/>
        <w:overflowPunct/>
        <w:topLinePunct w:val="0"/>
        <w:autoSpaceDE/>
        <w:autoSpaceDN/>
        <w:bidi w:val="0"/>
        <w:adjustRightInd w:val="0"/>
        <w:snapToGrid w:val="0"/>
        <w:spacing w:line="480" w:lineRule="exact"/>
        <w:ind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6</w:t>
      </w:r>
      <w:r>
        <w:rPr>
          <w:rFonts w:hint="eastAsia" w:ascii="仿宋" w:hAnsi="仿宋" w:eastAsia="仿宋"/>
          <w:color w:val="auto"/>
          <w:kern w:val="0"/>
          <w:sz w:val="30"/>
          <w:szCs w:val="30"/>
          <w:lang w:val="en-US" w:eastAsia="zh-CN"/>
        </w:rPr>
        <w:t>.</w:t>
      </w:r>
      <w:r>
        <w:rPr>
          <w:rFonts w:ascii="仿宋" w:hAnsi="仿宋" w:eastAsia="仿宋"/>
          <w:color w:val="auto"/>
          <w:kern w:val="0"/>
          <w:sz w:val="30"/>
          <w:szCs w:val="30"/>
        </w:rPr>
        <w:t>乙方开具的增值税专用发票送达并经甲方签收后，若发生丢失，乙方应积极协助甲方，按照相关税收法规和文件的规定提供相应资料。</w:t>
      </w:r>
    </w:p>
    <w:p w14:paraId="11A3B2DF">
      <w:pPr>
        <w:keepNext w:val="0"/>
        <w:keepLines w:val="0"/>
        <w:pageBreakBefore w:val="0"/>
        <w:widowControl/>
        <w:tabs>
          <w:tab w:val="left" w:pos="851"/>
          <w:tab w:val="left" w:pos="1702"/>
        </w:tabs>
        <w:kinsoku/>
        <w:wordWrap/>
        <w:overflowPunct/>
        <w:topLinePunct w:val="0"/>
        <w:bidi w:val="0"/>
        <w:spacing w:before="156" w:line="480" w:lineRule="exact"/>
        <w:ind w:firstLine="602" w:firstLineChars="200"/>
        <w:jc w:val="left"/>
        <w:textAlignment w:val="auto"/>
        <w:outlineLvl w:val="0"/>
        <w:rPr>
          <w:rFonts w:ascii="仿宋" w:hAnsi="仿宋" w:eastAsia="仿宋"/>
          <w:color w:val="auto"/>
          <w:sz w:val="30"/>
          <w:szCs w:val="30"/>
        </w:rPr>
      </w:pPr>
      <w:bookmarkStart w:id="2" w:name="_Toc6871"/>
      <w:r>
        <w:rPr>
          <w:rFonts w:hint="eastAsia" w:ascii="仿宋" w:hAnsi="仿宋" w:eastAsia="仿宋"/>
          <w:b/>
          <w:color w:val="auto"/>
          <w:sz w:val="30"/>
          <w:szCs w:val="30"/>
        </w:rPr>
        <w:t>第八条甲方的权利和义务</w:t>
      </w:r>
      <w:bookmarkEnd w:id="2"/>
    </w:p>
    <w:p w14:paraId="02AD228F">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（一）甲方有权对乙方提供的各项管理制度及维保工作实施监督，并有权及时向乙方提出合理的要求和建议。</w:t>
      </w:r>
    </w:p>
    <w:p w14:paraId="27FA227A">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olor w:val="auto"/>
          <w:kern w:val="0"/>
          <w:sz w:val="30"/>
          <w:szCs w:val="30"/>
        </w:rPr>
      </w:pPr>
      <w:r>
        <w:rPr>
          <w:rFonts w:ascii="仿宋" w:hAnsi="仿宋" w:eastAsia="仿宋"/>
          <w:color w:val="auto"/>
          <w:kern w:val="0"/>
          <w:sz w:val="30"/>
          <w:szCs w:val="30"/>
        </w:rPr>
        <w:t>甲方</w:t>
      </w:r>
      <w:r>
        <w:rPr>
          <w:rFonts w:ascii="仿宋" w:hAnsi="仿宋" w:eastAsia="仿宋"/>
          <w:color w:val="auto"/>
          <w:sz w:val="30"/>
          <w:szCs w:val="30"/>
          <w:u w:val="single"/>
        </w:rPr>
        <w:t>每个维保</w:t>
      </w:r>
      <w:r>
        <w:rPr>
          <w:rFonts w:hint="eastAsia" w:ascii="仿宋" w:hAnsi="仿宋" w:eastAsia="仿宋"/>
          <w:color w:val="auto"/>
          <w:sz w:val="30"/>
          <w:szCs w:val="30"/>
          <w:u w:val="single"/>
        </w:rPr>
        <w:t>季度</w:t>
      </w:r>
      <w:r>
        <w:rPr>
          <w:rFonts w:ascii="仿宋" w:hAnsi="仿宋" w:eastAsia="仿宋"/>
          <w:color w:val="auto"/>
          <w:kern w:val="0"/>
          <w:sz w:val="30"/>
          <w:szCs w:val="30"/>
        </w:rPr>
        <w:t>对乙方的</w:t>
      </w:r>
      <w:r>
        <w:rPr>
          <w:rFonts w:hint="eastAsia" w:ascii="仿宋" w:hAnsi="仿宋" w:eastAsia="仿宋"/>
          <w:color w:val="auto"/>
          <w:kern w:val="0"/>
          <w:sz w:val="30"/>
          <w:szCs w:val="30"/>
        </w:rPr>
        <w:t>维保质量</w:t>
      </w:r>
      <w:r>
        <w:rPr>
          <w:rFonts w:ascii="仿宋" w:hAnsi="仿宋" w:eastAsia="仿宋"/>
          <w:color w:val="auto"/>
          <w:kern w:val="0"/>
          <w:sz w:val="30"/>
          <w:szCs w:val="30"/>
        </w:rPr>
        <w:t>进行</w:t>
      </w:r>
      <w:r>
        <w:rPr>
          <w:rFonts w:hint="eastAsia" w:ascii="仿宋" w:hAnsi="仿宋" w:eastAsia="仿宋"/>
          <w:color w:val="auto"/>
          <w:kern w:val="0"/>
          <w:sz w:val="30"/>
          <w:szCs w:val="30"/>
        </w:rPr>
        <w:t>考核</w:t>
      </w:r>
      <w:r>
        <w:rPr>
          <w:rFonts w:ascii="仿宋" w:hAnsi="仿宋" w:eastAsia="仿宋"/>
          <w:color w:val="auto"/>
          <w:kern w:val="0"/>
          <w:sz w:val="30"/>
          <w:szCs w:val="30"/>
        </w:rPr>
        <w:t>验收</w:t>
      </w:r>
      <w:r>
        <w:rPr>
          <w:rFonts w:hint="eastAsia" w:ascii="仿宋" w:hAnsi="仿宋" w:eastAsia="仿宋"/>
          <w:color w:val="auto"/>
          <w:kern w:val="0"/>
          <w:sz w:val="30"/>
          <w:szCs w:val="30"/>
        </w:rPr>
        <w:t>，</w:t>
      </w:r>
      <w:r>
        <w:rPr>
          <w:rFonts w:hint="eastAsia" w:ascii="仿宋" w:hAnsi="仿宋" w:eastAsia="仿宋" w:cs="宋体"/>
          <w:color w:val="auto"/>
          <w:kern w:val="0"/>
          <w:sz w:val="30"/>
          <w:szCs w:val="30"/>
        </w:rPr>
        <w:t>实施季度考核百分评分制，考核得分</w:t>
      </w:r>
      <w:r>
        <w:rPr>
          <w:rFonts w:hint="eastAsia" w:ascii="仿宋" w:hAnsi="仿宋" w:eastAsia="仿宋" w:cs="宋体"/>
          <w:color w:val="auto"/>
          <w:kern w:val="0"/>
          <w:sz w:val="30"/>
          <w:szCs w:val="30"/>
          <w:u w:val="single"/>
        </w:rPr>
        <w:t xml:space="preserve"> 85 </w:t>
      </w:r>
      <w:r>
        <w:rPr>
          <w:rFonts w:hint="eastAsia" w:ascii="仿宋" w:hAnsi="仿宋" w:eastAsia="仿宋" w:cs="宋体"/>
          <w:color w:val="auto"/>
          <w:kern w:val="0"/>
          <w:sz w:val="30"/>
          <w:szCs w:val="30"/>
        </w:rPr>
        <w:t>分及以上为当月服务合格，</w:t>
      </w:r>
      <w:r>
        <w:rPr>
          <w:rFonts w:hint="eastAsia" w:ascii="仿宋" w:hAnsi="仿宋" w:eastAsia="仿宋" w:cs="宋体"/>
          <w:color w:val="auto"/>
          <w:kern w:val="0"/>
          <w:sz w:val="30"/>
          <w:szCs w:val="30"/>
          <w:u w:val="single"/>
        </w:rPr>
        <w:t xml:space="preserve"> 85 </w:t>
      </w:r>
      <w:r>
        <w:rPr>
          <w:rFonts w:hint="eastAsia" w:ascii="仿宋" w:hAnsi="仿宋" w:eastAsia="仿宋" w:cs="宋体"/>
          <w:color w:val="auto"/>
          <w:kern w:val="0"/>
          <w:sz w:val="30"/>
          <w:szCs w:val="30"/>
        </w:rPr>
        <w:t>分以下每减1分，将扣除当季度服务费中的</w:t>
      </w:r>
      <w:r>
        <w:rPr>
          <w:rFonts w:hint="eastAsia" w:ascii="仿宋" w:hAnsi="仿宋" w:eastAsia="仿宋" w:cs="宋体"/>
          <w:color w:val="auto"/>
          <w:kern w:val="0"/>
          <w:sz w:val="30"/>
          <w:szCs w:val="30"/>
          <w:u w:val="single"/>
        </w:rPr>
        <w:t xml:space="preserve"> 1 </w:t>
      </w:r>
      <w:r>
        <w:rPr>
          <w:rFonts w:hint="eastAsia" w:ascii="仿宋" w:hAnsi="仿宋" w:eastAsia="仿宋" w:cs="宋体"/>
          <w:color w:val="auto"/>
          <w:kern w:val="0"/>
          <w:sz w:val="30"/>
          <w:szCs w:val="30"/>
        </w:rPr>
        <w:t>%作为违约金，以此类推</w:t>
      </w:r>
      <w:r>
        <w:rPr>
          <w:rFonts w:hint="eastAsia" w:ascii="仿宋" w:hAnsi="仿宋" w:eastAsia="仿宋"/>
          <w:color w:val="auto"/>
          <w:kern w:val="0"/>
          <w:sz w:val="30"/>
          <w:szCs w:val="30"/>
        </w:rPr>
        <w:t>。</w:t>
      </w:r>
    </w:p>
    <w:p w14:paraId="4C19B18E">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在合同有效期内，甲方每年开展一次年度履约评价（附件七），评价得分低于</w:t>
      </w:r>
      <w:r>
        <w:rPr>
          <w:rFonts w:hint="eastAsia" w:ascii="仿宋" w:hAnsi="仿宋" w:eastAsia="仿宋"/>
          <w:color w:val="auto"/>
          <w:kern w:val="0"/>
          <w:sz w:val="30"/>
          <w:szCs w:val="30"/>
          <w:u w:val="single"/>
        </w:rPr>
        <w:t xml:space="preserve"> 75 </w:t>
      </w:r>
      <w:r>
        <w:rPr>
          <w:rFonts w:hint="eastAsia" w:ascii="仿宋" w:hAnsi="仿宋" w:eastAsia="仿宋"/>
          <w:color w:val="auto"/>
          <w:kern w:val="0"/>
          <w:sz w:val="30"/>
          <w:szCs w:val="30"/>
        </w:rPr>
        <w:t>分，甲方向乙方发出书面警示函，约谈乙方分管领导；得分如低于</w:t>
      </w:r>
      <w:r>
        <w:rPr>
          <w:rFonts w:hint="eastAsia" w:ascii="仿宋" w:hAnsi="仿宋" w:eastAsia="仿宋"/>
          <w:color w:val="auto"/>
          <w:kern w:val="0"/>
          <w:sz w:val="30"/>
          <w:szCs w:val="30"/>
          <w:u w:val="single"/>
        </w:rPr>
        <w:t xml:space="preserve"> 60 </w:t>
      </w:r>
      <w:r>
        <w:rPr>
          <w:rFonts w:hint="eastAsia" w:ascii="仿宋" w:hAnsi="仿宋" w:eastAsia="仿宋"/>
          <w:color w:val="auto"/>
          <w:kern w:val="0"/>
          <w:sz w:val="30"/>
          <w:szCs w:val="30"/>
        </w:rPr>
        <w:t>分，甲方有权终止本合同，不承担任何后果。</w:t>
      </w:r>
    </w:p>
    <w:p w14:paraId="170CEE37">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（二）甲方安排专人负责该消防设施设备的日常管理和监管工作，</w:t>
      </w:r>
      <w:r>
        <w:rPr>
          <w:rFonts w:ascii="仿宋" w:hAnsi="仿宋" w:eastAsia="仿宋"/>
          <w:color w:val="auto"/>
          <w:kern w:val="0"/>
          <w:sz w:val="30"/>
          <w:szCs w:val="30"/>
        </w:rPr>
        <w:t>做好消防设施设备的运行、使用、巡检记录。</w:t>
      </w:r>
      <w:r>
        <w:rPr>
          <w:rFonts w:hint="eastAsia" w:ascii="仿宋" w:hAnsi="仿宋" w:eastAsia="仿宋"/>
          <w:color w:val="auto"/>
          <w:kern w:val="0"/>
          <w:sz w:val="30"/>
          <w:szCs w:val="30"/>
        </w:rPr>
        <w:t>出现一般故障后，做好故障登记。若需乙方现场处理，甲方应提供必要的工作条件，负责协助并确认乙方的维护保养工作，维修记录表在双方签字确认后存档。</w:t>
      </w:r>
    </w:p>
    <w:p w14:paraId="2BC5FFCE">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（三）甲方应尊重乙方维保人员的工作，对维保人员履行职责的行为予以支持、配合。</w:t>
      </w:r>
    </w:p>
    <w:p w14:paraId="5F13C17B">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（四）有关消防系统的修改以及建筑平面布局的改动可能影响消防维保的全面性和有效性的，甲方应及时告知乙方。</w:t>
      </w:r>
    </w:p>
    <w:p w14:paraId="6B5FDE63">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（五）甲方对乙方的检查报告、维保记录在核对无误后，应由甲方履约联系人或甲方相关负责人予以签字确认。</w:t>
      </w:r>
    </w:p>
    <w:p w14:paraId="5A2B93B8">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（六）甲方应认真审核乙方提出为保障消防设施设备运行的建议，并及时回复。</w:t>
      </w:r>
    </w:p>
    <w:p w14:paraId="6B51C183">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（七）甲方须按合同约定的付款方式及时足额支付消防维护保养服务费。</w:t>
      </w:r>
    </w:p>
    <w:p w14:paraId="0A9DD4E9">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（八）因甲方人为造成的故障或设备损坏，乙方有义务协助甲方在最短的时间内先行修复、更换，恢复消防系统的正常运行，所需费用由甲方承担。</w:t>
      </w:r>
    </w:p>
    <w:p w14:paraId="52288B84">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（九）甲方在接到乙方通知后，应及时准备或委托乙方购买单价超过</w:t>
      </w:r>
      <w:r>
        <w:rPr>
          <w:rFonts w:hint="eastAsia" w:ascii="仿宋" w:hAnsi="仿宋" w:eastAsia="仿宋"/>
          <w:color w:val="auto"/>
          <w:kern w:val="0"/>
          <w:sz w:val="30"/>
          <w:szCs w:val="30"/>
          <w:u w:val="single"/>
        </w:rPr>
        <w:t xml:space="preserve">  200</w:t>
      </w:r>
      <w:r>
        <w:rPr>
          <w:rFonts w:hint="eastAsia" w:ascii="仿宋" w:hAnsi="仿宋" w:eastAsia="仿宋"/>
          <w:color w:val="auto"/>
          <w:kern w:val="0"/>
          <w:sz w:val="30"/>
          <w:szCs w:val="30"/>
        </w:rPr>
        <w:t>元的维修和更换所需的配件、设备等材料，详见附件五《</w:t>
      </w:r>
      <w:r>
        <w:rPr>
          <w:rFonts w:hint="eastAsia" w:ascii="仿宋" w:hAnsi="仿宋" w:eastAsia="仿宋"/>
          <w:color w:val="auto"/>
          <w:kern w:val="0"/>
          <w:sz w:val="30"/>
          <w:szCs w:val="30"/>
          <w:u w:val="single"/>
        </w:rPr>
        <w:t xml:space="preserve"> 200 </w:t>
      </w:r>
      <w:r>
        <w:rPr>
          <w:rFonts w:hint="eastAsia" w:ascii="仿宋" w:hAnsi="仿宋" w:eastAsia="仿宋"/>
          <w:color w:val="auto"/>
          <w:kern w:val="0"/>
          <w:sz w:val="30"/>
          <w:szCs w:val="30"/>
        </w:rPr>
        <w:t>元以上付费材料清单》，附件中价格为参考价格，甲方可另行通过市场考察价格，最终价格以附件参考价格和甲方市场考察价格中的较低价格为准。</w:t>
      </w:r>
    </w:p>
    <w:p w14:paraId="6E14D43D">
      <w:pPr>
        <w:keepNext w:val="0"/>
        <w:keepLines w:val="0"/>
        <w:pageBreakBefore w:val="0"/>
        <w:widowControl/>
        <w:tabs>
          <w:tab w:val="left" w:pos="397"/>
          <w:tab w:val="left" w:pos="993"/>
        </w:tabs>
        <w:kinsoku/>
        <w:wordWrap/>
        <w:overflowPunct/>
        <w:topLinePunct w:val="0"/>
        <w:bidi w:val="0"/>
        <w:adjustRightInd w:val="0"/>
        <w:snapToGrid w:val="0"/>
        <w:spacing w:line="480" w:lineRule="exact"/>
        <w:ind w:firstLine="450" w:firstLineChars="150"/>
        <w:textAlignment w:val="auto"/>
        <w:rPr>
          <w:rFonts w:ascii="仿宋" w:hAnsi="仿宋" w:eastAsia="仿宋" w:cs="仿宋"/>
          <w:color w:val="auto"/>
          <w:sz w:val="30"/>
          <w:szCs w:val="30"/>
        </w:rPr>
      </w:pPr>
      <w:r>
        <w:rPr>
          <w:rFonts w:hint="eastAsia" w:ascii="仿宋" w:hAnsi="仿宋" w:eastAsia="仿宋"/>
          <w:color w:val="auto"/>
          <w:sz w:val="30"/>
          <w:szCs w:val="30"/>
        </w:rPr>
        <w:t>（十）</w:t>
      </w:r>
      <w:r>
        <w:rPr>
          <w:rFonts w:hint="eastAsia" w:ascii="仿宋" w:hAnsi="仿宋" w:eastAsia="仿宋"/>
          <w:color w:val="auto"/>
          <w:sz w:val="30"/>
          <w:szCs w:val="30"/>
          <w:lang w:eastAsia="zh-CN"/>
        </w:rPr>
        <w:t>消防</w:t>
      </w:r>
      <w:r>
        <w:rPr>
          <w:rFonts w:hint="eastAsia" w:ascii="仿宋" w:hAnsi="仿宋" w:eastAsia="仿宋" w:cs="仿宋"/>
          <w:color w:val="auto"/>
          <w:sz w:val="30"/>
          <w:szCs w:val="30"/>
        </w:rPr>
        <w:t>维护保养合同生效后，甲方提出解除合同，提前壹个月通知乙方，即可解除合同。</w:t>
      </w:r>
    </w:p>
    <w:p w14:paraId="42E067FF">
      <w:pPr>
        <w:keepNext w:val="0"/>
        <w:keepLines w:val="0"/>
        <w:pageBreakBefore w:val="0"/>
        <w:widowControl/>
        <w:tabs>
          <w:tab w:val="left" w:pos="851"/>
          <w:tab w:val="left" w:pos="1702"/>
        </w:tabs>
        <w:kinsoku/>
        <w:wordWrap/>
        <w:overflowPunct/>
        <w:topLinePunct w:val="0"/>
        <w:bidi w:val="0"/>
        <w:spacing w:before="156" w:line="480" w:lineRule="exact"/>
        <w:ind w:firstLine="602" w:firstLineChars="200"/>
        <w:jc w:val="left"/>
        <w:textAlignment w:val="auto"/>
        <w:outlineLvl w:val="0"/>
        <w:rPr>
          <w:rFonts w:ascii="仿宋" w:hAnsi="仿宋" w:eastAsia="仿宋"/>
          <w:color w:val="auto"/>
          <w:sz w:val="30"/>
          <w:szCs w:val="30"/>
        </w:rPr>
      </w:pPr>
      <w:r>
        <w:rPr>
          <w:rFonts w:hint="eastAsia" w:ascii="仿宋" w:hAnsi="仿宋" w:eastAsia="仿宋"/>
          <w:b/>
          <w:color w:val="auto"/>
          <w:sz w:val="30"/>
          <w:szCs w:val="30"/>
        </w:rPr>
        <w:t>第九条乙方的权利和义务</w:t>
      </w:r>
    </w:p>
    <w:p w14:paraId="2CFEC51F">
      <w:pPr>
        <w:keepNext w:val="0"/>
        <w:keepLines w:val="0"/>
        <w:pageBreakBefore w:val="0"/>
        <w:widowControl/>
        <w:tabs>
          <w:tab w:val="left" w:pos="397"/>
          <w:tab w:val="left" w:pos="624"/>
          <w:tab w:val="left" w:pos="993"/>
        </w:tabs>
        <w:kinsoku/>
        <w:wordWrap/>
        <w:overflowPunct/>
        <w:topLinePunct w:val="0"/>
        <w:bidi w:val="0"/>
        <w:adjustRightInd w:val="0"/>
        <w:snapToGrid w:val="0"/>
        <w:spacing w:line="480" w:lineRule="exact"/>
        <w:ind w:firstLine="450" w:firstLineChars="150"/>
        <w:textAlignment w:val="auto"/>
        <w:outlineLvl w:val="0"/>
        <w:rPr>
          <w:rFonts w:ascii="仿宋" w:hAnsi="仿宋" w:eastAsia="仿宋"/>
          <w:color w:val="auto"/>
          <w:kern w:val="0"/>
          <w:sz w:val="30"/>
          <w:szCs w:val="30"/>
        </w:rPr>
      </w:pPr>
      <w:r>
        <w:rPr>
          <w:rFonts w:hint="eastAsia" w:ascii="仿宋" w:hAnsi="仿宋" w:eastAsia="仿宋"/>
          <w:color w:val="auto"/>
          <w:kern w:val="0"/>
          <w:sz w:val="30"/>
          <w:szCs w:val="30"/>
        </w:rPr>
        <w:t>（一）乙方资质要求</w:t>
      </w:r>
    </w:p>
    <w:p w14:paraId="143049F9">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1</w:t>
      </w:r>
      <w:r>
        <w:rPr>
          <w:rFonts w:hint="eastAsia" w:ascii="仿宋" w:hAnsi="仿宋" w:eastAsia="仿宋"/>
          <w:color w:val="auto"/>
          <w:sz w:val="30"/>
          <w:szCs w:val="30"/>
          <w:lang w:val="en-US" w:eastAsia="zh-CN"/>
        </w:rPr>
        <w:t>.</w:t>
      </w:r>
      <w:r>
        <w:rPr>
          <w:rFonts w:ascii="仿宋" w:hAnsi="仿宋" w:eastAsia="仿宋"/>
          <w:color w:val="auto"/>
          <w:sz w:val="30"/>
          <w:szCs w:val="30"/>
        </w:rPr>
        <w:t>乙方应承诺在本合同服务期限内取得符合法律、法规规章及相关部门规定实施本项目要求的相关资质（包括但不限于公司资质及相关工作人员资质），并承诺在合同有效期内资质持续有效，并于合同</w:t>
      </w:r>
      <w:r>
        <w:rPr>
          <w:rFonts w:hint="eastAsia" w:ascii="仿宋" w:hAnsi="仿宋" w:eastAsia="仿宋"/>
          <w:color w:val="auto"/>
          <w:sz w:val="30"/>
          <w:szCs w:val="30"/>
        </w:rPr>
        <w:t>签署</w:t>
      </w:r>
      <w:r>
        <w:rPr>
          <w:rFonts w:ascii="仿宋" w:hAnsi="仿宋" w:eastAsia="仿宋"/>
          <w:color w:val="auto"/>
          <w:sz w:val="30"/>
          <w:szCs w:val="30"/>
        </w:rPr>
        <w:t>当日将相关资质原件出示甲方，</w:t>
      </w:r>
      <w:r>
        <w:rPr>
          <w:rFonts w:hint="eastAsia" w:ascii="仿宋" w:hAnsi="仿宋" w:eastAsia="仿宋"/>
          <w:color w:val="auto"/>
          <w:sz w:val="30"/>
          <w:szCs w:val="30"/>
        </w:rPr>
        <w:t>并提交复印件给</w:t>
      </w:r>
      <w:r>
        <w:rPr>
          <w:rFonts w:ascii="仿宋" w:hAnsi="仿宋" w:eastAsia="仿宋"/>
          <w:color w:val="auto"/>
          <w:sz w:val="30"/>
          <w:szCs w:val="30"/>
        </w:rPr>
        <w:t>甲方存档</w:t>
      </w:r>
      <w:r>
        <w:rPr>
          <w:rFonts w:hint="eastAsia" w:ascii="仿宋" w:hAnsi="仿宋" w:eastAsia="仿宋"/>
          <w:color w:val="auto"/>
          <w:sz w:val="30"/>
          <w:szCs w:val="30"/>
        </w:rPr>
        <w:t>；资质要求如遇国家政策调整，则按新政策执行</w:t>
      </w:r>
      <w:r>
        <w:rPr>
          <w:rFonts w:ascii="仿宋" w:hAnsi="仿宋" w:eastAsia="仿宋"/>
          <w:color w:val="auto"/>
          <w:sz w:val="30"/>
          <w:szCs w:val="30"/>
        </w:rPr>
        <w:t>。</w:t>
      </w:r>
    </w:p>
    <w:p w14:paraId="581B22B3">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2</w:t>
      </w:r>
      <w:r>
        <w:rPr>
          <w:rFonts w:hint="eastAsia" w:ascii="仿宋" w:hAnsi="仿宋" w:eastAsia="仿宋"/>
          <w:color w:val="auto"/>
          <w:sz w:val="30"/>
          <w:szCs w:val="30"/>
          <w:lang w:val="en-US" w:eastAsia="zh-CN"/>
        </w:rPr>
        <w:t>.</w:t>
      </w:r>
      <w:r>
        <w:rPr>
          <w:rFonts w:ascii="仿宋" w:hAnsi="仿宋" w:eastAsia="仿宋"/>
          <w:color w:val="auto"/>
          <w:sz w:val="30"/>
          <w:szCs w:val="30"/>
        </w:rPr>
        <w:t>如乙方违反上述要求，在资质失效期内发生的全部人身、财产损失（无论是甲方损失、乙方自身损失还是其他第三方损失）或甲方因此承担行政、刑事责任的，由此造成的全部损失应由乙方承担，如因乙方违反本约定</w:t>
      </w:r>
      <w:r>
        <w:rPr>
          <w:rFonts w:hint="eastAsia" w:ascii="仿宋" w:hAnsi="仿宋" w:eastAsia="仿宋"/>
          <w:color w:val="auto"/>
          <w:sz w:val="30"/>
          <w:szCs w:val="30"/>
        </w:rPr>
        <w:t>造成甲方</w:t>
      </w:r>
      <w:r>
        <w:rPr>
          <w:rFonts w:ascii="仿宋" w:hAnsi="仿宋" w:eastAsia="仿宋"/>
          <w:color w:val="auto"/>
          <w:sz w:val="30"/>
          <w:szCs w:val="30"/>
        </w:rPr>
        <w:t>先行垫付损失的，乙方应在甲方垫付完毕之日起三日内偿还甲方，因乙方拒绝偿还甲方垫付款项的，除应支付该垫付款项外，甲方因此产生的维权费用（包括但不限于：律师费、保全费、</w:t>
      </w:r>
      <w:r>
        <w:rPr>
          <w:rFonts w:hint="eastAsia" w:ascii="仿宋" w:hAnsi="仿宋" w:eastAsia="仿宋"/>
          <w:color w:val="auto"/>
          <w:sz w:val="30"/>
          <w:szCs w:val="30"/>
        </w:rPr>
        <w:t>诉讼财产保全担保责任保险费、</w:t>
      </w:r>
      <w:r>
        <w:rPr>
          <w:rFonts w:ascii="仿宋" w:hAnsi="仿宋" w:eastAsia="仿宋"/>
          <w:color w:val="auto"/>
          <w:sz w:val="30"/>
          <w:szCs w:val="30"/>
        </w:rPr>
        <w:t>公证费、鉴定费、差旅费）由乙方承担。</w:t>
      </w:r>
    </w:p>
    <w:p w14:paraId="61B77C57">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3</w:t>
      </w:r>
      <w:r>
        <w:rPr>
          <w:rFonts w:hint="eastAsia" w:ascii="仿宋" w:hAnsi="仿宋" w:eastAsia="仿宋"/>
          <w:color w:val="auto"/>
          <w:sz w:val="30"/>
          <w:szCs w:val="30"/>
          <w:lang w:val="en-US" w:eastAsia="zh-CN"/>
        </w:rPr>
        <w:t>.</w:t>
      </w:r>
      <w:r>
        <w:rPr>
          <w:rFonts w:ascii="仿宋" w:hAnsi="仿宋" w:eastAsia="仿宋"/>
          <w:color w:val="auto"/>
          <w:sz w:val="30"/>
          <w:szCs w:val="30"/>
        </w:rPr>
        <w:t>乙方违反上述第</w:t>
      </w:r>
      <w:r>
        <w:rPr>
          <w:rFonts w:hint="eastAsia" w:ascii="仿宋" w:hAnsi="仿宋" w:eastAsia="仿宋"/>
          <w:color w:val="auto"/>
          <w:sz w:val="30"/>
          <w:szCs w:val="30"/>
        </w:rPr>
        <w:t>1</w:t>
      </w:r>
      <w:r>
        <w:rPr>
          <w:rFonts w:ascii="仿宋" w:hAnsi="仿宋" w:eastAsia="仿宋"/>
          <w:color w:val="auto"/>
          <w:sz w:val="30"/>
          <w:szCs w:val="30"/>
        </w:rPr>
        <w:t>、</w:t>
      </w:r>
      <w:r>
        <w:rPr>
          <w:rFonts w:hint="eastAsia" w:ascii="仿宋" w:hAnsi="仿宋" w:eastAsia="仿宋"/>
          <w:color w:val="auto"/>
          <w:sz w:val="30"/>
          <w:szCs w:val="30"/>
        </w:rPr>
        <w:t>2</w:t>
      </w:r>
      <w:r>
        <w:rPr>
          <w:rFonts w:ascii="仿宋" w:hAnsi="仿宋" w:eastAsia="仿宋"/>
          <w:color w:val="auto"/>
          <w:sz w:val="30"/>
          <w:szCs w:val="30"/>
        </w:rPr>
        <w:t>款规定的，甲方可随时要求解除本合同，且不承担任何责任，乙方应一次性向甲方支付合同款项20%的赔偿，甲方已支付乙方的先期款项，乙方应在合同解除后10个工作日内退回，否则乙方应当赔偿甲方该款项的损失（损失由甲方</w:t>
      </w:r>
      <w:r>
        <w:rPr>
          <w:rFonts w:hint="eastAsia" w:ascii="仿宋" w:hAnsi="仿宋" w:eastAsia="仿宋"/>
          <w:color w:val="auto"/>
          <w:sz w:val="30"/>
          <w:szCs w:val="30"/>
        </w:rPr>
        <w:t>选择</w:t>
      </w:r>
      <w:r>
        <w:rPr>
          <w:rFonts w:ascii="仿宋" w:hAnsi="仿宋" w:eastAsia="仿宋"/>
          <w:color w:val="auto"/>
          <w:sz w:val="30"/>
          <w:szCs w:val="30"/>
        </w:rPr>
        <w:t>按实际损失或银行同期贷款利率的四倍计算）。</w:t>
      </w:r>
    </w:p>
    <w:p w14:paraId="61085620">
      <w:pPr>
        <w:keepNext w:val="0"/>
        <w:keepLines w:val="0"/>
        <w:pageBreakBefore w:val="0"/>
        <w:kinsoku/>
        <w:wordWrap/>
        <w:overflowPunct/>
        <w:topLinePunct w:val="0"/>
        <w:bidi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（二）乙方保险要求</w:t>
      </w:r>
    </w:p>
    <w:p w14:paraId="7AFB7719">
      <w:pPr>
        <w:keepNext w:val="0"/>
        <w:keepLines w:val="0"/>
        <w:pageBreakBefore w:val="0"/>
        <w:kinsoku/>
        <w:wordWrap/>
        <w:overflowPunct/>
        <w:topLinePunct w:val="0"/>
        <w:bidi w:val="0"/>
        <w:spacing w:line="480" w:lineRule="exact"/>
        <w:ind w:firstLine="750" w:firstLineChars="250"/>
        <w:textAlignment w:val="auto"/>
        <w:rPr>
          <w:rFonts w:ascii="仿宋" w:hAnsi="仿宋" w:eastAsia="仿宋"/>
          <w:color w:val="auto"/>
          <w:sz w:val="30"/>
          <w:szCs w:val="30"/>
        </w:rPr>
      </w:pPr>
      <w:r>
        <w:rPr>
          <w:rFonts w:hint="eastAsia" w:ascii="仿宋" w:hAnsi="仿宋" w:eastAsia="仿宋"/>
          <w:color w:val="auto"/>
          <w:sz w:val="30"/>
          <w:szCs w:val="30"/>
        </w:rPr>
        <w:t>1</w:t>
      </w:r>
      <w:r>
        <w:rPr>
          <w:rFonts w:hint="eastAsia" w:ascii="仿宋" w:hAnsi="仿宋" w:eastAsia="仿宋"/>
          <w:color w:val="auto"/>
          <w:sz w:val="30"/>
          <w:szCs w:val="30"/>
          <w:lang w:val="en-US" w:eastAsia="zh-CN"/>
        </w:rPr>
        <w:t>.</w:t>
      </w:r>
      <w:r>
        <w:rPr>
          <w:rFonts w:ascii="仿宋" w:hAnsi="仿宋" w:eastAsia="仿宋"/>
          <w:color w:val="auto"/>
          <w:sz w:val="30"/>
          <w:szCs w:val="30"/>
        </w:rPr>
        <w:t>乙方应承诺为本项目</w:t>
      </w:r>
      <w:r>
        <w:rPr>
          <w:rFonts w:hint="eastAsia" w:ascii="仿宋" w:hAnsi="仿宋" w:eastAsia="仿宋"/>
          <w:color w:val="auto"/>
          <w:sz w:val="30"/>
          <w:szCs w:val="30"/>
        </w:rPr>
        <w:t>造成第三者损失风险购买公众责任险，每次事故赔偿限额应不低于人民币60万元。</w:t>
      </w:r>
    </w:p>
    <w:p w14:paraId="504A583B">
      <w:pPr>
        <w:keepNext w:val="0"/>
        <w:keepLines w:val="0"/>
        <w:pageBreakBefore w:val="0"/>
        <w:kinsoku/>
        <w:wordWrap/>
        <w:overflowPunct/>
        <w:topLinePunct w:val="0"/>
        <w:bidi w:val="0"/>
        <w:spacing w:line="480" w:lineRule="exact"/>
        <w:ind w:firstLine="750" w:firstLineChars="250"/>
        <w:textAlignment w:val="auto"/>
        <w:rPr>
          <w:rFonts w:ascii="仿宋" w:hAnsi="仿宋" w:eastAsia="仿宋"/>
          <w:color w:val="auto"/>
          <w:sz w:val="30"/>
          <w:szCs w:val="30"/>
        </w:rPr>
      </w:pPr>
      <w:r>
        <w:rPr>
          <w:rFonts w:hint="eastAsia" w:ascii="仿宋" w:hAnsi="仿宋" w:eastAsia="仿宋"/>
          <w:color w:val="auto"/>
          <w:sz w:val="30"/>
          <w:szCs w:val="30"/>
        </w:rPr>
        <w:t>2</w:t>
      </w:r>
      <w:r>
        <w:rPr>
          <w:rFonts w:hint="eastAsia" w:ascii="仿宋" w:hAnsi="仿宋" w:eastAsia="仿宋"/>
          <w:color w:val="auto"/>
          <w:sz w:val="30"/>
          <w:szCs w:val="30"/>
          <w:lang w:val="en-US" w:eastAsia="zh-CN"/>
        </w:rPr>
        <w:t>.</w:t>
      </w:r>
      <w:r>
        <w:rPr>
          <w:rFonts w:ascii="仿宋" w:hAnsi="仿宋" w:eastAsia="仿宋"/>
          <w:color w:val="auto"/>
          <w:sz w:val="30"/>
          <w:szCs w:val="30"/>
        </w:rPr>
        <w:t>乙方应承诺为本项目</w:t>
      </w:r>
      <w:r>
        <w:rPr>
          <w:rFonts w:hint="eastAsia" w:ascii="仿宋" w:hAnsi="仿宋" w:eastAsia="仿宋"/>
          <w:color w:val="auto"/>
          <w:sz w:val="30"/>
          <w:szCs w:val="30"/>
        </w:rPr>
        <w:t>所有涉及人员（包括但不限于</w:t>
      </w:r>
      <w:r>
        <w:rPr>
          <w:rFonts w:ascii="仿宋" w:hAnsi="仿宋" w:eastAsia="仿宋"/>
          <w:color w:val="auto"/>
          <w:sz w:val="30"/>
          <w:szCs w:val="30"/>
        </w:rPr>
        <w:t>现场工作人员及其他参与人员</w:t>
      </w:r>
      <w:r>
        <w:rPr>
          <w:rFonts w:hint="eastAsia" w:ascii="仿宋" w:hAnsi="仿宋" w:eastAsia="仿宋"/>
          <w:color w:val="auto"/>
          <w:sz w:val="30"/>
          <w:szCs w:val="30"/>
        </w:rPr>
        <w:t>）的人身伤害风险</w:t>
      </w:r>
      <w:r>
        <w:rPr>
          <w:rFonts w:ascii="仿宋" w:hAnsi="仿宋" w:eastAsia="仿宋"/>
          <w:color w:val="auto"/>
          <w:sz w:val="30"/>
          <w:szCs w:val="30"/>
        </w:rPr>
        <w:t>购买</w:t>
      </w:r>
      <w:r>
        <w:rPr>
          <w:rFonts w:hint="eastAsia" w:ascii="仿宋" w:hAnsi="仿宋" w:eastAsia="仿宋"/>
          <w:color w:val="auto"/>
          <w:sz w:val="30"/>
          <w:szCs w:val="30"/>
        </w:rPr>
        <w:t>团体意外伤害保险或雇主责任险。其中：</w:t>
      </w:r>
      <w:r>
        <w:rPr>
          <w:rFonts w:ascii="仿宋" w:hAnsi="仿宋" w:eastAsia="仿宋"/>
          <w:color w:val="auto"/>
          <w:sz w:val="30"/>
          <w:szCs w:val="30"/>
        </w:rPr>
        <w:t>意外身故/残疾/烧、烫伤</w:t>
      </w:r>
      <w:r>
        <w:rPr>
          <w:rFonts w:hint="eastAsia" w:ascii="仿宋" w:hAnsi="仿宋" w:eastAsia="仿宋"/>
          <w:color w:val="auto"/>
          <w:sz w:val="30"/>
          <w:szCs w:val="30"/>
        </w:rPr>
        <w:t>保额应不低于人民币50万元</w:t>
      </w:r>
      <w:r>
        <w:rPr>
          <w:rFonts w:ascii="仿宋" w:hAnsi="仿宋" w:eastAsia="仿宋"/>
          <w:color w:val="auto"/>
          <w:sz w:val="30"/>
          <w:szCs w:val="30"/>
        </w:rPr>
        <w:t>/人</w:t>
      </w:r>
      <w:r>
        <w:rPr>
          <w:rFonts w:hint="eastAsia" w:ascii="仿宋" w:hAnsi="仿宋" w:eastAsia="仿宋"/>
          <w:color w:val="auto"/>
          <w:sz w:val="30"/>
          <w:szCs w:val="30"/>
        </w:rPr>
        <w:t>,</w:t>
      </w:r>
      <w:r>
        <w:rPr>
          <w:rFonts w:ascii="仿宋" w:hAnsi="仿宋" w:eastAsia="仿宋"/>
          <w:color w:val="auto"/>
          <w:sz w:val="30"/>
          <w:szCs w:val="30"/>
        </w:rPr>
        <w:t>附加意外伤害医疗费用</w:t>
      </w:r>
      <w:r>
        <w:rPr>
          <w:rFonts w:hint="eastAsia" w:ascii="仿宋" w:hAnsi="仿宋" w:eastAsia="仿宋"/>
          <w:color w:val="auto"/>
          <w:sz w:val="30"/>
          <w:szCs w:val="30"/>
        </w:rPr>
        <w:t>保额应不低于人民币5万元</w:t>
      </w:r>
      <w:r>
        <w:rPr>
          <w:rFonts w:ascii="仿宋" w:hAnsi="仿宋" w:eastAsia="仿宋"/>
          <w:color w:val="auto"/>
          <w:sz w:val="30"/>
          <w:szCs w:val="30"/>
        </w:rPr>
        <w:t>/人</w:t>
      </w:r>
      <w:r>
        <w:rPr>
          <w:rFonts w:hint="eastAsia" w:ascii="仿宋" w:hAnsi="仿宋" w:eastAsia="仿宋"/>
          <w:color w:val="auto"/>
          <w:sz w:val="30"/>
          <w:szCs w:val="30"/>
        </w:rPr>
        <w:t>。</w:t>
      </w:r>
    </w:p>
    <w:p w14:paraId="606FE748">
      <w:pPr>
        <w:keepNext w:val="0"/>
        <w:keepLines w:val="0"/>
        <w:pageBreakBefore w:val="0"/>
        <w:kinsoku/>
        <w:wordWrap/>
        <w:overflowPunct/>
        <w:topLinePunct w:val="0"/>
        <w:bidi w:val="0"/>
        <w:spacing w:line="480" w:lineRule="exact"/>
        <w:ind w:firstLine="750" w:firstLineChars="250"/>
        <w:textAlignment w:val="auto"/>
        <w:rPr>
          <w:rFonts w:ascii="仿宋" w:hAnsi="仿宋" w:eastAsia="仿宋"/>
          <w:color w:val="auto"/>
          <w:sz w:val="30"/>
          <w:szCs w:val="30"/>
        </w:rPr>
      </w:pPr>
      <w:r>
        <w:rPr>
          <w:rFonts w:hint="eastAsia" w:ascii="仿宋" w:hAnsi="仿宋" w:eastAsia="仿宋"/>
          <w:color w:val="auto"/>
          <w:sz w:val="30"/>
          <w:szCs w:val="30"/>
        </w:rPr>
        <w:t>3</w:t>
      </w:r>
      <w:r>
        <w:rPr>
          <w:rFonts w:hint="eastAsia" w:ascii="仿宋" w:hAnsi="仿宋" w:eastAsia="仿宋"/>
          <w:color w:val="auto"/>
          <w:sz w:val="30"/>
          <w:szCs w:val="30"/>
          <w:lang w:val="en-US" w:eastAsia="zh-CN"/>
        </w:rPr>
        <w:t>.</w:t>
      </w:r>
      <w:r>
        <w:rPr>
          <w:rFonts w:hint="eastAsia" w:ascii="仿宋" w:hAnsi="仿宋" w:eastAsia="仿宋"/>
          <w:color w:val="auto"/>
          <w:sz w:val="30"/>
          <w:szCs w:val="30"/>
        </w:rPr>
        <w:t>上述保险项目须</w:t>
      </w:r>
      <w:r>
        <w:rPr>
          <w:rFonts w:ascii="仿宋" w:hAnsi="仿宋" w:eastAsia="仿宋"/>
          <w:color w:val="auto"/>
          <w:sz w:val="30"/>
          <w:szCs w:val="30"/>
        </w:rPr>
        <w:t>在人员进场前将保单</w:t>
      </w:r>
      <w:r>
        <w:rPr>
          <w:rFonts w:hint="eastAsia" w:ascii="仿宋" w:hAnsi="仿宋" w:eastAsia="仿宋"/>
          <w:color w:val="auto"/>
          <w:sz w:val="30"/>
          <w:szCs w:val="30"/>
        </w:rPr>
        <w:t>或</w:t>
      </w:r>
      <w:r>
        <w:rPr>
          <w:rFonts w:ascii="仿宋" w:hAnsi="仿宋" w:eastAsia="仿宋"/>
          <w:color w:val="auto"/>
          <w:sz w:val="30"/>
          <w:szCs w:val="30"/>
        </w:rPr>
        <w:t>参保记录原件</w:t>
      </w:r>
      <w:r>
        <w:rPr>
          <w:rFonts w:hint="eastAsia" w:ascii="仿宋" w:hAnsi="仿宋" w:eastAsia="仿宋"/>
          <w:color w:val="auto"/>
          <w:sz w:val="30"/>
          <w:szCs w:val="30"/>
        </w:rPr>
        <w:t>向</w:t>
      </w:r>
      <w:r>
        <w:rPr>
          <w:rFonts w:ascii="仿宋" w:hAnsi="仿宋" w:eastAsia="仿宋"/>
          <w:color w:val="auto"/>
          <w:sz w:val="30"/>
          <w:szCs w:val="30"/>
        </w:rPr>
        <w:t>甲方</w:t>
      </w:r>
      <w:r>
        <w:rPr>
          <w:rFonts w:hint="eastAsia" w:ascii="仿宋" w:hAnsi="仿宋" w:eastAsia="仿宋"/>
          <w:color w:val="auto"/>
          <w:sz w:val="30"/>
          <w:szCs w:val="30"/>
        </w:rPr>
        <w:t>出示，</w:t>
      </w:r>
      <w:r>
        <w:rPr>
          <w:rFonts w:ascii="仿宋" w:hAnsi="仿宋" w:eastAsia="仿宋"/>
          <w:color w:val="auto"/>
          <w:sz w:val="30"/>
          <w:szCs w:val="30"/>
        </w:rPr>
        <w:t>并</w:t>
      </w:r>
      <w:r>
        <w:rPr>
          <w:rFonts w:hint="eastAsia" w:ascii="仿宋" w:hAnsi="仿宋" w:eastAsia="仿宋"/>
          <w:color w:val="auto"/>
          <w:sz w:val="30"/>
          <w:szCs w:val="30"/>
        </w:rPr>
        <w:t>将</w:t>
      </w:r>
      <w:r>
        <w:rPr>
          <w:rFonts w:ascii="仿宋" w:hAnsi="仿宋" w:eastAsia="仿宋"/>
          <w:color w:val="auto"/>
          <w:sz w:val="30"/>
          <w:szCs w:val="30"/>
        </w:rPr>
        <w:t>复印</w:t>
      </w:r>
      <w:r>
        <w:rPr>
          <w:rFonts w:hint="eastAsia" w:ascii="仿宋" w:hAnsi="仿宋" w:eastAsia="仿宋"/>
          <w:color w:val="auto"/>
          <w:sz w:val="30"/>
          <w:szCs w:val="30"/>
        </w:rPr>
        <w:t>件提交</w:t>
      </w:r>
      <w:r>
        <w:rPr>
          <w:rFonts w:ascii="仿宋" w:hAnsi="仿宋" w:eastAsia="仿宋"/>
          <w:color w:val="auto"/>
          <w:sz w:val="30"/>
          <w:szCs w:val="30"/>
        </w:rPr>
        <w:t>甲方备案。</w:t>
      </w:r>
    </w:p>
    <w:p w14:paraId="076BEDFA">
      <w:pPr>
        <w:keepNext w:val="0"/>
        <w:keepLines w:val="0"/>
        <w:pageBreakBefore w:val="0"/>
        <w:kinsoku/>
        <w:wordWrap/>
        <w:overflowPunct/>
        <w:topLinePunct w:val="0"/>
        <w:bidi w:val="0"/>
        <w:spacing w:line="480" w:lineRule="exact"/>
        <w:ind w:firstLine="750" w:firstLineChars="250"/>
        <w:textAlignment w:val="auto"/>
        <w:rPr>
          <w:rFonts w:ascii="仿宋" w:hAnsi="仿宋" w:eastAsia="仿宋"/>
          <w:color w:val="auto"/>
          <w:sz w:val="30"/>
          <w:szCs w:val="30"/>
        </w:rPr>
      </w:pPr>
      <w:r>
        <w:rPr>
          <w:rFonts w:hint="eastAsia" w:ascii="仿宋" w:hAnsi="仿宋" w:eastAsia="仿宋"/>
          <w:color w:val="auto"/>
          <w:sz w:val="30"/>
          <w:szCs w:val="30"/>
        </w:rPr>
        <w:t>4</w:t>
      </w:r>
      <w:r>
        <w:rPr>
          <w:rFonts w:hint="eastAsia" w:ascii="仿宋" w:hAnsi="仿宋" w:eastAsia="仿宋"/>
          <w:color w:val="auto"/>
          <w:sz w:val="30"/>
          <w:szCs w:val="30"/>
          <w:lang w:val="en-US" w:eastAsia="zh-CN"/>
        </w:rPr>
        <w:t>.</w:t>
      </w:r>
      <w:r>
        <w:rPr>
          <w:rFonts w:ascii="仿宋" w:hAnsi="仿宋" w:eastAsia="仿宋"/>
          <w:color w:val="auto"/>
          <w:sz w:val="30"/>
          <w:szCs w:val="30"/>
        </w:rPr>
        <w:t>在本合同服务期限内，如甲方发现乙方现场工作人员及其他项目参与人员不符合本条约定参保情况的，甲方可立即停止该工作人员的全部工作，并要求乙方即时替换符合要求的工作人员进场，乙方不得有异议。</w:t>
      </w:r>
    </w:p>
    <w:p w14:paraId="02F05640">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5</w:t>
      </w:r>
      <w:r>
        <w:rPr>
          <w:rFonts w:hint="eastAsia" w:ascii="仿宋" w:hAnsi="仿宋" w:eastAsia="仿宋"/>
          <w:color w:val="auto"/>
          <w:sz w:val="30"/>
          <w:szCs w:val="30"/>
          <w:lang w:val="en-US" w:eastAsia="zh-CN"/>
        </w:rPr>
        <w:t>.</w:t>
      </w:r>
      <w:r>
        <w:rPr>
          <w:rFonts w:ascii="仿宋" w:hAnsi="仿宋" w:eastAsia="仿宋"/>
          <w:color w:val="auto"/>
          <w:sz w:val="30"/>
          <w:szCs w:val="30"/>
        </w:rPr>
        <w:t>乙方违反上述第</w:t>
      </w:r>
      <w:r>
        <w:rPr>
          <w:rFonts w:hint="eastAsia" w:ascii="仿宋" w:hAnsi="仿宋" w:eastAsia="仿宋"/>
          <w:color w:val="auto"/>
          <w:sz w:val="30"/>
          <w:szCs w:val="30"/>
        </w:rPr>
        <w:t>1、2</w:t>
      </w:r>
      <w:r>
        <w:rPr>
          <w:rFonts w:ascii="仿宋" w:hAnsi="仿宋" w:eastAsia="仿宋"/>
          <w:color w:val="auto"/>
          <w:sz w:val="30"/>
          <w:szCs w:val="30"/>
        </w:rPr>
        <w:t>款规定的，甲方可随时解除合同并不承担任何责任</w:t>
      </w:r>
      <w:r>
        <w:rPr>
          <w:rFonts w:hint="eastAsia" w:ascii="仿宋" w:hAnsi="仿宋" w:eastAsia="仿宋"/>
          <w:color w:val="auto"/>
          <w:sz w:val="30"/>
          <w:szCs w:val="30"/>
        </w:rPr>
        <w:t>,且</w:t>
      </w:r>
      <w:r>
        <w:rPr>
          <w:rFonts w:ascii="仿宋" w:hAnsi="仿宋" w:eastAsia="仿宋"/>
          <w:color w:val="auto"/>
          <w:sz w:val="30"/>
          <w:szCs w:val="30"/>
        </w:rPr>
        <w:t>乙方造成甲方垫付费用及维权费用</w:t>
      </w:r>
      <w:r>
        <w:rPr>
          <w:rFonts w:hint="eastAsia" w:ascii="仿宋" w:hAnsi="仿宋" w:eastAsia="仿宋"/>
          <w:color w:val="auto"/>
          <w:sz w:val="30"/>
          <w:szCs w:val="30"/>
        </w:rPr>
        <w:t>损失及</w:t>
      </w:r>
      <w:r>
        <w:rPr>
          <w:rFonts w:ascii="仿宋" w:hAnsi="仿宋" w:eastAsia="仿宋"/>
          <w:color w:val="auto"/>
          <w:sz w:val="30"/>
          <w:szCs w:val="30"/>
        </w:rPr>
        <w:t>其他损失</w:t>
      </w:r>
      <w:r>
        <w:rPr>
          <w:rFonts w:hint="eastAsia" w:ascii="仿宋" w:hAnsi="仿宋" w:eastAsia="仿宋"/>
          <w:color w:val="auto"/>
          <w:sz w:val="30"/>
          <w:szCs w:val="30"/>
        </w:rPr>
        <w:t>的</w:t>
      </w:r>
      <w:r>
        <w:rPr>
          <w:rFonts w:ascii="仿宋" w:hAnsi="仿宋" w:eastAsia="仿宋"/>
          <w:color w:val="auto"/>
          <w:sz w:val="30"/>
          <w:szCs w:val="30"/>
        </w:rPr>
        <w:t>，</w:t>
      </w:r>
      <w:r>
        <w:rPr>
          <w:rFonts w:hint="eastAsia" w:ascii="仿宋" w:hAnsi="仿宋" w:eastAsia="仿宋"/>
          <w:color w:val="auto"/>
          <w:sz w:val="30"/>
          <w:szCs w:val="30"/>
        </w:rPr>
        <w:t>均</w:t>
      </w:r>
      <w:r>
        <w:rPr>
          <w:rFonts w:ascii="仿宋" w:hAnsi="仿宋" w:eastAsia="仿宋"/>
          <w:color w:val="auto"/>
          <w:sz w:val="30"/>
          <w:szCs w:val="30"/>
        </w:rPr>
        <w:t>应予赔偿。</w:t>
      </w:r>
    </w:p>
    <w:p w14:paraId="24B939B2">
      <w:pPr>
        <w:keepNext w:val="0"/>
        <w:keepLines w:val="0"/>
        <w:pageBreakBefore w:val="0"/>
        <w:widowControl/>
        <w:kinsoku/>
        <w:wordWrap/>
        <w:overflowPunct/>
        <w:topLinePunct w:val="0"/>
        <w:bidi w:val="0"/>
        <w:adjustRightInd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（三）</w:t>
      </w:r>
      <w:r>
        <w:rPr>
          <w:rFonts w:ascii="仿宋" w:hAnsi="仿宋" w:eastAsia="仿宋"/>
          <w:color w:val="auto"/>
          <w:kern w:val="0"/>
          <w:sz w:val="30"/>
          <w:szCs w:val="30"/>
        </w:rPr>
        <w:t>乙方协助甲方完善相关的消防管理制度，并负责为甲方培训消防系统操作和维护人员，以便甲方人员能够正确操作，充分发挥消防设施的作用及减少事故发生。</w:t>
      </w:r>
    </w:p>
    <w:p w14:paraId="7290697E">
      <w:pPr>
        <w:keepNext w:val="0"/>
        <w:keepLines w:val="0"/>
        <w:pageBreakBefore w:val="0"/>
        <w:widowControl/>
        <w:kinsoku/>
        <w:wordWrap/>
        <w:overflowPunct/>
        <w:topLinePunct w:val="0"/>
        <w:bidi w:val="0"/>
        <w:adjustRightInd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（四）</w:t>
      </w:r>
      <w:r>
        <w:rPr>
          <w:rFonts w:ascii="仿宋" w:hAnsi="仿宋" w:eastAsia="仿宋"/>
          <w:color w:val="auto"/>
          <w:kern w:val="0"/>
          <w:sz w:val="30"/>
          <w:szCs w:val="30"/>
        </w:rPr>
        <w:t>乙方在维保工作中所发现的消防安全隐患，应及时告知甲方并提出改进意见，以便甲方采取有效措施排除隐患。</w:t>
      </w:r>
    </w:p>
    <w:p w14:paraId="2ABE72AF">
      <w:pPr>
        <w:keepNext w:val="0"/>
        <w:keepLines w:val="0"/>
        <w:pageBreakBefore w:val="0"/>
        <w:kinsoku/>
        <w:wordWrap/>
        <w:overflowPunct/>
        <w:topLinePunct w:val="0"/>
        <w:bidi w:val="0"/>
        <w:adjustRightInd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（五）</w:t>
      </w:r>
      <w:r>
        <w:rPr>
          <w:rFonts w:ascii="仿宋" w:hAnsi="仿宋" w:eastAsia="仿宋"/>
          <w:color w:val="auto"/>
          <w:sz w:val="30"/>
          <w:szCs w:val="30"/>
        </w:rPr>
        <w:t>乙方承诺其派驻甲方从事维保服务的所有工作人员均已与乙方建立了合法的劳动关系，并保证该劳动关系在本合同履行期间合法存续，乙方自行承担其工作人员的各项保险（含社会保险）、工资、劳保福利及其它一切费用，乙方处理与其员工劳动纠纷不得影响本合同的正常履行；作业过程中，乙方应严格要求其工作人员遵守甲方各项管理制度，维护甲方项目的所有公共设施、设备，如有损坏甲方管理区域内物品或物业设施、设备的，乙方及其工作人员承担连带赔偿责任。</w:t>
      </w:r>
    </w:p>
    <w:p w14:paraId="592375ED">
      <w:pPr>
        <w:keepNext w:val="0"/>
        <w:keepLines w:val="0"/>
        <w:pageBreakBefore w:val="0"/>
        <w:widowControl/>
        <w:kinsoku/>
        <w:wordWrap/>
        <w:overflowPunct/>
        <w:topLinePunct w:val="0"/>
        <w:bidi w:val="0"/>
        <w:adjustRightInd w:val="0"/>
        <w:snapToGrid w:val="0"/>
        <w:spacing w:line="480" w:lineRule="exact"/>
        <w:ind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（六）</w:t>
      </w:r>
      <w:r>
        <w:rPr>
          <w:rFonts w:ascii="仿宋" w:hAnsi="仿宋" w:eastAsia="仿宋"/>
          <w:color w:val="auto"/>
          <w:kern w:val="0"/>
          <w:sz w:val="30"/>
          <w:szCs w:val="30"/>
        </w:rPr>
        <w:t>乙方维保人员应遵守甲方物业管理规章制度，并接受甲方的监督、检查，参加甲方会议，积极沟通、及时汇报日常工作。</w:t>
      </w:r>
    </w:p>
    <w:p w14:paraId="610E9D14">
      <w:pPr>
        <w:keepNext w:val="0"/>
        <w:keepLines w:val="0"/>
        <w:pageBreakBefore w:val="0"/>
        <w:widowControl/>
        <w:kinsoku/>
        <w:wordWrap/>
        <w:overflowPunct/>
        <w:topLinePunct w:val="0"/>
        <w:bidi w:val="0"/>
        <w:adjustRightInd w:val="0"/>
        <w:snapToGrid w:val="0"/>
        <w:spacing w:line="480" w:lineRule="exact"/>
        <w:ind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（七）</w:t>
      </w:r>
      <w:r>
        <w:rPr>
          <w:rFonts w:ascii="仿宋" w:hAnsi="仿宋" w:eastAsia="仿宋"/>
          <w:color w:val="auto"/>
          <w:kern w:val="0"/>
          <w:sz w:val="30"/>
          <w:szCs w:val="30"/>
        </w:rPr>
        <w:t>乙方应严格按照国家相关规范和省、市公安消防部门的要求，对消防设备设施进行检查、维护，使消防系统一直处于正常运行状态。</w:t>
      </w:r>
    </w:p>
    <w:p w14:paraId="05D0AF35">
      <w:pPr>
        <w:keepNext w:val="0"/>
        <w:keepLines w:val="0"/>
        <w:pageBreakBefore w:val="0"/>
        <w:widowControl/>
        <w:kinsoku/>
        <w:wordWrap/>
        <w:overflowPunct/>
        <w:topLinePunct w:val="0"/>
        <w:bidi w:val="0"/>
        <w:adjustRightInd w:val="0"/>
        <w:snapToGrid w:val="0"/>
        <w:spacing w:line="480" w:lineRule="exact"/>
        <w:ind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（八）</w:t>
      </w:r>
      <w:r>
        <w:rPr>
          <w:rFonts w:ascii="仿宋" w:hAnsi="仿宋" w:eastAsia="仿宋"/>
          <w:color w:val="auto"/>
          <w:kern w:val="0"/>
          <w:sz w:val="30"/>
          <w:szCs w:val="30"/>
        </w:rPr>
        <w:t>乙方应按照维护保养标准</w:t>
      </w:r>
      <w:r>
        <w:rPr>
          <w:rFonts w:ascii="仿宋" w:hAnsi="仿宋" w:eastAsia="仿宋"/>
          <w:color w:val="auto"/>
          <w:kern w:val="0"/>
          <w:sz w:val="30"/>
          <w:szCs w:val="30"/>
          <w:u w:val="single"/>
        </w:rPr>
        <w:t>（具体见本合同附件一）</w:t>
      </w:r>
      <w:r>
        <w:rPr>
          <w:rFonts w:ascii="仿宋" w:hAnsi="仿宋" w:eastAsia="仿宋"/>
          <w:color w:val="auto"/>
          <w:kern w:val="0"/>
          <w:sz w:val="30"/>
          <w:szCs w:val="30"/>
        </w:rPr>
        <w:t>，定期维护保养，每次维保后提供</w:t>
      </w:r>
      <w:r>
        <w:rPr>
          <w:rFonts w:hint="eastAsia" w:ascii="仿宋" w:hAnsi="仿宋" w:eastAsia="仿宋"/>
          <w:color w:val="auto"/>
          <w:kern w:val="0"/>
          <w:sz w:val="30"/>
          <w:szCs w:val="30"/>
        </w:rPr>
        <w:t>消防</w:t>
      </w:r>
      <w:r>
        <w:rPr>
          <w:rFonts w:ascii="仿宋" w:hAnsi="仿宋" w:eastAsia="仿宋"/>
          <w:color w:val="auto"/>
          <w:kern w:val="0"/>
          <w:sz w:val="30"/>
          <w:szCs w:val="30"/>
        </w:rPr>
        <w:t>维护保养记录供双方签字确认后存档。乙方应出具真实的维保报告，如提供虚假材料所引起的一切责任由乙方负责。</w:t>
      </w:r>
    </w:p>
    <w:p w14:paraId="54C494B6">
      <w:pPr>
        <w:keepNext w:val="0"/>
        <w:keepLines w:val="0"/>
        <w:pageBreakBefore w:val="0"/>
        <w:widowControl/>
        <w:kinsoku/>
        <w:wordWrap/>
        <w:overflowPunct/>
        <w:topLinePunct w:val="0"/>
        <w:bidi w:val="0"/>
        <w:snapToGrid w:val="0"/>
        <w:spacing w:line="480" w:lineRule="exact"/>
        <w:ind w:firstLine="450" w:firstLineChars="150"/>
        <w:textAlignment w:val="auto"/>
        <w:outlineLvl w:val="2"/>
        <w:rPr>
          <w:rFonts w:ascii="仿宋" w:hAnsi="仿宋" w:eastAsia="仿宋" w:cs="宋体"/>
          <w:color w:val="auto"/>
          <w:kern w:val="0"/>
          <w:sz w:val="30"/>
          <w:szCs w:val="30"/>
        </w:rPr>
      </w:pPr>
      <w:r>
        <w:rPr>
          <w:rFonts w:hint="eastAsia" w:ascii="仿宋" w:hAnsi="仿宋" w:eastAsia="仿宋"/>
          <w:color w:val="auto"/>
          <w:kern w:val="0"/>
          <w:sz w:val="30"/>
          <w:szCs w:val="30"/>
        </w:rPr>
        <w:t>（九）发现消防设施存在隐患时，</w:t>
      </w:r>
      <w:r>
        <w:rPr>
          <w:rFonts w:ascii="仿宋" w:hAnsi="仿宋" w:eastAsia="仿宋"/>
          <w:color w:val="auto"/>
          <w:kern w:val="0"/>
          <w:sz w:val="30"/>
          <w:szCs w:val="30"/>
        </w:rPr>
        <w:t>乙方承担并更换单件费用在</w:t>
      </w:r>
      <w:r>
        <w:rPr>
          <w:rFonts w:hint="eastAsia" w:ascii="仿宋" w:hAnsi="仿宋" w:eastAsia="仿宋"/>
          <w:color w:val="auto"/>
          <w:kern w:val="0"/>
          <w:sz w:val="30"/>
          <w:szCs w:val="30"/>
          <w:u w:val="single"/>
        </w:rPr>
        <w:t xml:space="preserve"> 200 </w:t>
      </w:r>
      <w:r>
        <w:rPr>
          <w:rFonts w:ascii="仿宋" w:hAnsi="仿宋" w:eastAsia="仿宋"/>
          <w:color w:val="auto"/>
          <w:kern w:val="0"/>
          <w:sz w:val="30"/>
          <w:szCs w:val="30"/>
        </w:rPr>
        <w:t>元（含）以下的材料配件，详见附件</w:t>
      </w:r>
      <w:r>
        <w:rPr>
          <w:rFonts w:hint="eastAsia" w:ascii="仿宋" w:hAnsi="仿宋" w:eastAsia="仿宋"/>
          <w:color w:val="auto"/>
          <w:kern w:val="0"/>
          <w:sz w:val="30"/>
          <w:szCs w:val="30"/>
        </w:rPr>
        <w:t>四《</w:t>
      </w:r>
      <w:r>
        <w:rPr>
          <w:rFonts w:hint="eastAsia" w:ascii="仿宋" w:hAnsi="仿宋" w:eastAsia="仿宋" w:cs="宋体"/>
          <w:color w:val="auto"/>
          <w:kern w:val="0"/>
          <w:sz w:val="30"/>
          <w:szCs w:val="30"/>
        </w:rPr>
        <w:t>单品单件</w:t>
      </w:r>
      <w:r>
        <w:rPr>
          <w:rFonts w:hint="eastAsia" w:ascii="仿宋" w:hAnsi="仿宋" w:eastAsia="仿宋" w:cs="宋体"/>
          <w:color w:val="auto"/>
          <w:kern w:val="0"/>
          <w:sz w:val="30"/>
          <w:szCs w:val="30"/>
          <w:u w:val="single"/>
        </w:rPr>
        <w:t xml:space="preserve"> 200 </w:t>
      </w:r>
      <w:r>
        <w:rPr>
          <w:rFonts w:hint="eastAsia" w:ascii="仿宋" w:hAnsi="仿宋" w:eastAsia="仿宋" w:cs="宋体"/>
          <w:color w:val="auto"/>
          <w:kern w:val="0"/>
          <w:sz w:val="30"/>
          <w:szCs w:val="30"/>
        </w:rPr>
        <w:t>元以下免费配件清单》</w:t>
      </w:r>
    </w:p>
    <w:p w14:paraId="2A3989C9">
      <w:pPr>
        <w:keepNext w:val="0"/>
        <w:keepLines w:val="0"/>
        <w:pageBreakBefore w:val="0"/>
        <w:widowControl/>
        <w:kinsoku/>
        <w:wordWrap/>
        <w:overflowPunct/>
        <w:topLinePunct w:val="0"/>
        <w:bidi w:val="0"/>
        <w:snapToGrid w:val="0"/>
        <w:spacing w:line="480" w:lineRule="exact"/>
        <w:ind w:firstLine="450" w:firstLineChars="150"/>
        <w:textAlignment w:val="auto"/>
        <w:outlineLvl w:val="2"/>
        <w:rPr>
          <w:rFonts w:ascii="仿宋" w:hAnsi="仿宋" w:eastAsia="仿宋"/>
          <w:color w:val="auto"/>
          <w:kern w:val="0"/>
          <w:sz w:val="30"/>
          <w:szCs w:val="30"/>
        </w:rPr>
      </w:pPr>
      <w:r>
        <w:rPr>
          <w:rFonts w:hint="eastAsia" w:ascii="仿宋" w:hAnsi="仿宋" w:eastAsia="仿宋"/>
          <w:color w:val="auto"/>
          <w:kern w:val="0"/>
          <w:sz w:val="30"/>
          <w:szCs w:val="30"/>
        </w:rPr>
        <w:t>（十）</w:t>
      </w:r>
      <w:r>
        <w:rPr>
          <w:rFonts w:ascii="仿宋" w:hAnsi="仿宋" w:eastAsia="仿宋"/>
          <w:color w:val="auto"/>
          <w:kern w:val="0"/>
          <w:sz w:val="30"/>
          <w:szCs w:val="30"/>
        </w:rPr>
        <w:t>乙方维保过程中，需更换消防材料时，应向甲方提供与更换消防材料相关的产品检验报告、合格证、质保期等书面文件，保证该消防材料系合格产品，并履行质保期义务。如因维保不当造成设备损坏，由乙方负责按市场价赔偿并承担因此产生的一切责任。</w:t>
      </w:r>
    </w:p>
    <w:p w14:paraId="72CA6425">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kern w:val="0"/>
          <w:sz w:val="30"/>
          <w:szCs w:val="30"/>
        </w:rPr>
        <w:t>（十一）</w:t>
      </w:r>
      <w:r>
        <w:rPr>
          <w:rFonts w:ascii="仿宋" w:hAnsi="仿宋" w:eastAsia="仿宋"/>
          <w:color w:val="auto"/>
          <w:sz w:val="30"/>
          <w:szCs w:val="30"/>
        </w:rPr>
        <w:t>乙方提供24小时紧急消防设备设施维修服务，</w:t>
      </w:r>
      <w:r>
        <w:rPr>
          <w:rFonts w:hint="eastAsia" w:ascii="仿宋" w:hAnsi="仿宋" w:eastAsia="仿宋"/>
          <w:color w:val="auto"/>
          <w:sz w:val="30"/>
          <w:szCs w:val="30"/>
        </w:rPr>
        <w:t>联系人</w:t>
      </w:r>
      <w:r>
        <w:rPr>
          <w:rFonts w:hint="eastAsia" w:ascii="仿宋" w:hAnsi="仿宋" w:eastAsia="仿宋"/>
          <w:color w:val="auto"/>
          <w:sz w:val="30"/>
          <w:szCs w:val="30"/>
          <w:u w:val="single"/>
          <w:lang w:val="en-US" w:eastAsia="zh-CN"/>
        </w:rPr>
        <w:t xml:space="preserve">     </w:t>
      </w:r>
      <w:r>
        <w:rPr>
          <w:rFonts w:hint="eastAsia" w:ascii="仿宋" w:hAnsi="仿宋" w:eastAsia="仿宋"/>
          <w:color w:val="auto"/>
          <w:sz w:val="30"/>
          <w:szCs w:val="30"/>
        </w:rPr>
        <w:t>，服务电话：</w:t>
      </w:r>
      <w:r>
        <w:rPr>
          <w:rFonts w:hint="eastAsia" w:ascii="仿宋" w:hAnsi="仿宋" w:eastAsia="仿宋"/>
          <w:color w:val="auto"/>
          <w:sz w:val="30"/>
          <w:szCs w:val="30"/>
          <w:u w:val="single"/>
          <w:lang w:val="en-US" w:eastAsia="zh-CN"/>
        </w:rPr>
        <w:t xml:space="preserve">     </w:t>
      </w:r>
      <w:r>
        <w:rPr>
          <w:rFonts w:hint="eastAsia" w:ascii="仿宋" w:hAnsi="仿宋" w:eastAsia="仿宋"/>
          <w:color w:val="auto"/>
          <w:sz w:val="30"/>
          <w:szCs w:val="30"/>
        </w:rPr>
        <w:t>。</w:t>
      </w:r>
      <w:r>
        <w:rPr>
          <w:rFonts w:ascii="仿宋" w:hAnsi="仿宋" w:eastAsia="仿宋"/>
          <w:color w:val="auto"/>
          <w:sz w:val="30"/>
          <w:szCs w:val="30"/>
        </w:rPr>
        <w:t>在消防设备出现危险情况或故障时，乙方在接到甲方电话或书面通知后，必须派现场维保</w:t>
      </w:r>
      <w:r>
        <w:rPr>
          <w:rFonts w:hint="eastAsia" w:ascii="仿宋" w:hAnsi="仿宋" w:eastAsia="仿宋"/>
          <w:color w:val="auto"/>
          <w:sz w:val="30"/>
          <w:szCs w:val="30"/>
        </w:rPr>
        <w:t>技术员</w:t>
      </w:r>
      <w:r>
        <w:rPr>
          <w:rFonts w:ascii="仿宋" w:hAnsi="仿宋" w:eastAsia="仿宋"/>
          <w:color w:val="auto"/>
          <w:sz w:val="30"/>
          <w:szCs w:val="30"/>
        </w:rPr>
        <w:t>于</w:t>
      </w:r>
      <w:r>
        <w:rPr>
          <w:rFonts w:hint="eastAsia" w:ascii="仿宋" w:hAnsi="仿宋" w:eastAsia="仿宋"/>
          <w:color w:val="auto"/>
          <w:sz w:val="30"/>
          <w:szCs w:val="30"/>
          <w:u w:val="single"/>
        </w:rPr>
        <w:t xml:space="preserve"> </w:t>
      </w:r>
      <w:r>
        <w:rPr>
          <w:rFonts w:hint="eastAsia" w:ascii="仿宋" w:hAnsi="仿宋" w:eastAsia="仿宋"/>
          <w:color w:val="auto"/>
          <w:sz w:val="30"/>
          <w:szCs w:val="30"/>
          <w:u w:val="single"/>
          <w:lang w:val="en-US" w:eastAsia="zh-CN"/>
        </w:rPr>
        <w:t xml:space="preserve"> 60 </w:t>
      </w:r>
      <w:r>
        <w:rPr>
          <w:rFonts w:hint="eastAsia" w:ascii="仿宋" w:hAnsi="仿宋" w:eastAsia="仿宋"/>
          <w:color w:val="auto"/>
          <w:sz w:val="30"/>
          <w:szCs w:val="30"/>
          <w:u w:val="single"/>
        </w:rPr>
        <w:t xml:space="preserve"> </w:t>
      </w:r>
      <w:r>
        <w:rPr>
          <w:rFonts w:hint="eastAsia" w:ascii="仿宋" w:hAnsi="仿宋" w:eastAsia="仿宋"/>
          <w:color w:val="auto"/>
          <w:sz w:val="30"/>
          <w:szCs w:val="30"/>
          <w:u w:val="single"/>
          <w:lang w:val="en-US" w:eastAsia="zh-CN"/>
        </w:rPr>
        <w:t xml:space="preserve"> </w:t>
      </w:r>
      <w:r>
        <w:rPr>
          <w:rFonts w:hint="eastAsia" w:ascii="仿宋" w:hAnsi="仿宋" w:eastAsia="仿宋"/>
          <w:color w:val="auto"/>
          <w:sz w:val="30"/>
          <w:szCs w:val="30"/>
        </w:rPr>
        <w:t>分钟</w:t>
      </w:r>
      <w:r>
        <w:rPr>
          <w:rFonts w:ascii="仿宋" w:hAnsi="仿宋" w:eastAsia="仿宋"/>
          <w:color w:val="auto"/>
          <w:sz w:val="30"/>
          <w:szCs w:val="30"/>
        </w:rPr>
        <w:t>内到达现场</w:t>
      </w:r>
      <w:r>
        <w:rPr>
          <w:rFonts w:hint="eastAsia" w:ascii="仿宋" w:hAnsi="仿宋" w:eastAsia="仿宋"/>
          <w:color w:val="auto"/>
          <w:sz w:val="30"/>
          <w:szCs w:val="30"/>
        </w:rPr>
        <w:t>，单位</w:t>
      </w:r>
      <w:r>
        <w:rPr>
          <w:rFonts w:ascii="仿宋" w:hAnsi="仿宋" w:eastAsia="仿宋"/>
          <w:color w:val="auto"/>
          <w:sz w:val="30"/>
          <w:szCs w:val="30"/>
        </w:rPr>
        <w:t>技术负责人</w:t>
      </w:r>
      <w:r>
        <w:rPr>
          <w:rFonts w:hint="eastAsia" w:ascii="仿宋" w:hAnsi="仿宋" w:eastAsia="仿宋"/>
          <w:color w:val="auto"/>
          <w:sz w:val="30"/>
          <w:szCs w:val="30"/>
          <w:u w:val="single"/>
          <w:lang w:val="en-US" w:eastAsia="zh-CN"/>
        </w:rPr>
        <w:t xml:space="preserve">   </w:t>
      </w:r>
      <w:r>
        <w:rPr>
          <w:rFonts w:hint="eastAsia" w:ascii="仿宋" w:hAnsi="仿宋" w:eastAsia="仿宋"/>
          <w:color w:val="auto"/>
          <w:sz w:val="30"/>
          <w:szCs w:val="30"/>
        </w:rPr>
        <w:t>小时内到达现场</w:t>
      </w:r>
      <w:r>
        <w:rPr>
          <w:rFonts w:ascii="仿宋" w:hAnsi="仿宋" w:eastAsia="仿宋"/>
          <w:color w:val="auto"/>
          <w:sz w:val="30"/>
          <w:szCs w:val="30"/>
        </w:rPr>
        <w:t>并及时处理</w:t>
      </w:r>
      <w:r>
        <w:rPr>
          <w:rFonts w:hint="eastAsia" w:ascii="仿宋" w:hAnsi="仿宋" w:eastAsia="仿宋"/>
          <w:color w:val="auto"/>
          <w:sz w:val="30"/>
          <w:szCs w:val="30"/>
        </w:rPr>
        <w:t>，</w:t>
      </w:r>
      <w:r>
        <w:rPr>
          <w:rFonts w:ascii="仿宋" w:hAnsi="仿宋" w:eastAsia="仿宋"/>
          <w:color w:val="auto"/>
          <w:sz w:val="30"/>
          <w:szCs w:val="30"/>
        </w:rPr>
        <w:t>承诺接到从报修到修复完好不超过</w:t>
      </w:r>
      <w:r>
        <w:rPr>
          <w:rFonts w:hint="eastAsia" w:ascii="仿宋" w:hAnsi="仿宋" w:eastAsia="仿宋"/>
          <w:color w:val="auto"/>
          <w:sz w:val="30"/>
          <w:szCs w:val="30"/>
          <w:u w:val="single"/>
          <w:lang w:val="en-US" w:eastAsia="zh-CN"/>
        </w:rPr>
        <w:t xml:space="preserve">   </w:t>
      </w:r>
      <w:r>
        <w:rPr>
          <w:rFonts w:hint="eastAsia" w:ascii="仿宋" w:hAnsi="仿宋" w:eastAsia="仿宋"/>
          <w:color w:val="auto"/>
          <w:sz w:val="30"/>
          <w:szCs w:val="30"/>
        </w:rPr>
        <w:t>小时</w:t>
      </w:r>
      <w:r>
        <w:rPr>
          <w:rFonts w:ascii="仿宋" w:hAnsi="仿宋" w:eastAsia="仿宋"/>
          <w:color w:val="auto"/>
          <w:sz w:val="30"/>
          <w:szCs w:val="30"/>
        </w:rPr>
        <w:t>；若遇到疑难设备故障问题或者是特殊材料修复期为</w:t>
      </w:r>
      <w:r>
        <w:rPr>
          <w:rFonts w:hint="eastAsia" w:ascii="仿宋" w:hAnsi="仿宋" w:eastAsia="仿宋"/>
          <w:color w:val="auto"/>
          <w:sz w:val="30"/>
          <w:szCs w:val="30"/>
          <w:u w:val="single"/>
        </w:rPr>
        <w:t xml:space="preserve"> </w:t>
      </w:r>
      <w:r>
        <w:rPr>
          <w:rFonts w:hint="eastAsia" w:ascii="仿宋" w:hAnsi="仿宋" w:eastAsia="仿宋"/>
          <w:color w:val="auto"/>
          <w:sz w:val="30"/>
          <w:szCs w:val="30"/>
          <w:u w:val="single"/>
          <w:lang w:val="en-US" w:eastAsia="zh-CN"/>
        </w:rPr>
        <w:t xml:space="preserve">5个 </w:t>
      </w:r>
      <w:r>
        <w:rPr>
          <w:rFonts w:hint="eastAsia" w:ascii="仿宋" w:hAnsi="仿宋" w:eastAsia="仿宋"/>
          <w:color w:val="auto"/>
          <w:sz w:val="30"/>
          <w:szCs w:val="30"/>
          <w:u w:val="single"/>
        </w:rPr>
        <w:t xml:space="preserve"> </w:t>
      </w:r>
      <w:r>
        <w:rPr>
          <w:rFonts w:hint="eastAsia" w:ascii="仿宋" w:hAnsi="仿宋" w:eastAsia="仿宋"/>
          <w:color w:val="auto"/>
          <w:sz w:val="30"/>
          <w:szCs w:val="30"/>
        </w:rPr>
        <w:t>自然</w:t>
      </w:r>
      <w:r>
        <w:rPr>
          <w:rFonts w:ascii="仿宋" w:hAnsi="仿宋" w:eastAsia="仿宋"/>
          <w:color w:val="auto"/>
          <w:sz w:val="30"/>
          <w:szCs w:val="30"/>
        </w:rPr>
        <w:t>日。</w:t>
      </w:r>
    </w:p>
    <w:p w14:paraId="36C9409A">
      <w:pPr>
        <w:keepNext w:val="0"/>
        <w:keepLines w:val="0"/>
        <w:pageBreakBefore w:val="0"/>
        <w:tabs>
          <w:tab w:val="left" w:pos="1080"/>
        </w:tabs>
        <w:kinsoku/>
        <w:wordWrap/>
        <w:overflowPunct/>
        <w:topLinePunct w:val="0"/>
        <w:bidi w:val="0"/>
        <w:adjustRightInd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（十二）消防系统、设备</w:t>
      </w:r>
      <w:r>
        <w:rPr>
          <w:rFonts w:ascii="仿宋" w:hAnsi="仿宋" w:eastAsia="仿宋"/>
          <w:color w:val="auto"/>
          <w:sz w:val="30"/>
          <w:szCs w:val="30"/>
        </w:rPr>
        <w:t>发生一般性故障的，乙方在</w:t>
      </w:r>
      <w:r>
        <w:rPr>
          <w:rFonts w:hint="eastAsia" w:ascii="仿宋" w:hAnsi="仿宋" w:eastAsia="仿宋"/>
          <w:color w:val="auto"/>
          <w:sz w:val="30"/>
          <w:szCs w:val="30"/>
          <w:u w:val="single"/>
          <w:lang w:val="en-US" w:eastAsia="zh-CN"/>
        </w:rPr>
        <w:t xml:space="preserve"> 2 </w:t>
      </w:r>
      <w:r>
        <w:rPr>
          <w:rFonts w:ascii="仿宋" w:hAnsi="仿宋" w:eastAsia="仿宋"/>
          <w:color w:val="auto"/>
          <w:sz w:val="30"/>
          <w:szCs w:val="30"/>
        </w:rPr>
        <w:t>小时内排除修复完毕，对影响整个系统的故障，乙方应安排人员尽快排除故障，恢复各系统正常运行。遇特殊情况（如无备件，特殊配件一时无法供应）不能及时修复时，经甲方同意后方可推迟修复。对点位性故障</w:t>
      </w:r>
      <w:r>
        <w:rPr>
          <w:rFonts w:hint="eastAsia" w:ascii="仿宋" w:hAnsi="仿宋" w:eastAsia="仿宋"/>
          <w:color w:val="auto"/>
          <w:sz w:val="30"/>
          <w:szCs w:val="30"/>
          <w:u w:val="single"/>
          <w:lang w:val="en-US" w:eastAsia="zh-CN"/>
        </w:rPr>
        <w:t xml:space="preserve"> 2</w:t>
      </w:r>
      <w:r>
        <w:rPr>
          <w:rFonts w:hint="eastAsia" w:ascii="仿宋" w:hAnsi="仿宋" w:eastAsia="仿宋"/>
          <w:color w:val="auto"/>
          <w:sz w:val="30"/>
          <w:szCs w:val="30"/>
          <w:u w:val="single"/>
        </w:rPr>
        <w:t xml:space="preserve"> </w:t>
      </w:r>
      <w:r>
        <w:rPr>
          <w:rFonts w:ascii="仿宋" w:hAnsi="仿宋" w:eastAsia="仿宋"/>
          <w:color w:val="auto"/>
          <w:sz w:val="30"/>
          <w:szCs w:val="30"/>
        </w:rPr>
        <w:t>小时内处理完毕，系统性故障</w:t>
      </w:r>
      <w:r>
        <w:rPr>
          <w:rFonts w:hint="eastAsia" w:ascii="仿宋" w:hAnsi="仿宋" w:eastAsia="仿宋"/>
          <w:color w:val="auto"/>
          <w:sz w:val="30"/>
          <w:szCs w:val="30"/>
          <w:u w:val="single"/>
          <w:lang w:val="en-US" w:eastAsia="zh-CN"/>
        </w:rPr>
        <w:t xml:space="preserve"> 8 </w:t>
      </w:r>
      <w:r>
        <w:rPr>
          <w:rFonts w:ascii="仿宋" w:hAnsi="仿宋" w:eastAsia="仿宋"/>
          <w:color w:val="auto"/>
          <w:sz w:val="30"/>
          <w:szCs w:val="30"/>
        </w:rPr>
        <w:t>小时内处理完毕（以甲方对故障的性质认定为准）</w:t>
      </w:r>
      <w:r>
        <w:rPr>
          <w:rFonts w:hint="eastAsia" w:ascii="仿宋" w:hAnsi="仿宋" w:eastAsia="仿宋"/>
          <w:color w:val="auto"/>
          <w:sz w:val="30"/>
          <w:szCs w:val="30"/>
        </w:rPr>
        <w:t>，处理超时的，乙方按</w:t>
      </w:r>
      <w:r>
        <w:rPr>
          <w:rFonts w:hint="eastAsia" w:ascii="仿宋" w:hAnsi="仿宋" w:eastAsia="仿宋"/>
          <w:color w:val="auto"/>
          <w:sz w:val="30"/>
          <w:szCs w:val="30"/>
          <w:u w:val="single"/>
        </w:rPr>
        <w:t xml:space="preserve"> 30 </w:t>
      </w:r>
      <w:r>
        <w:rPr>
          <w:rFonts w:hint="eastAsia" w:ascii="仿宋" w:hAnsi="仿宋" w:eastAsia="仿宋"/>
          <w:color w:val="auto"/>
          <w:sz w:val="30"/>
          <w:szCs w:val="30"/>
        </w:rPr>
        <w:t>元/小时向甲方支付违约金，甲方可在维保服务费中扣除前述违约金。</w:t>
      </w:r>
      <w:r>
        <w:rPr>
          <w:rFonts w:ascii="仿宋" w:hAnsi="仿宋" w:eastAsia="仿宋"/>
          <w:color w:val="auto"/>
          <w:sz w:val="30"/>
          <w:szCs w:val="30"/>
        </w:rPr>
        <w:t>如需换单件费用大于</w:t>
      </w:r>
      <w:r>
        <w:rPr>
          <w:rFonts w:hint="eastAsia" w:ascii="仿宋" w:hAnsi="仿宋" w:eastAsia="仿宋"/>
          <w:color w:val="auto"/>
          <w:sz w:val="30"/>
          <w:szCs w:val="30"/>
          <w:u w:val="single"/>
        </w:rPr>
        <w:t xml:space="preserve"> 200 </w:t>
      </w:r>
      <w:r>
        <w:rPr>
          <w:rFonts w:ascii="仿宋" w:hAnsi="仿宋" w:eastAsia="仿宋"/>
          <w:color w:val="auto"/>
          <w:sz w:val="30"/>
          <w:szCs w:val="30"/>
        </w:rPr>
        <w:t>元时，时限按甲方书面规定时限为准。</w:t>
      </w:r>
    </w:p>
    <w:p w14:paraId="4FAD44E1">
      <w:pPr>
        <w:keepNext w:val="0"/>
        <w:keepLines w:val="0"/>
        <w:pageBreakBefore w:val="0"/>
        <w:tabs>
          <w:tab w:val="left" w:pos="1080"/>
        </w:tabs>
        <w:kinsoku/>
        <w:wordWrap/>
        <w:overflowPunct/>
        <w:topLinePunct w:val="0"/>
        <w:bidi w:val="0"/>
        <w:adjustRightInd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（十三）</w:t>
      </w:r>
      <w:r>
        <w:rPr>
          <w:rFonts w:ascii="仿宋" w:hAnsi="仿宋" w:eastAsia="仿宋"/>
          <w:color w:val="auto"/>
          <w:sz w:val="30"/>
          <w:szCs w:val="30"/>
        </w:rPr>
        <w:t>当系统损害严重，需更换设备或大修时，由乙方负责填报计划表，交甲方审核，设备可由甲方自行购买，或委托乙方提供，乙方可根据甲方提出的现场需要更换设备的规格、数量，积极配合甲方完成采购、安装工作，其设备采购费用由甲方承担。</w:t>
      </w:r>
    </w:p>
    <w:p w14:paraId="04C5939A">
      <w:pPr>
        <w:keepNext w:val="0"/>
        <w:keepLines w:val="0"/>
        <w:pageBreakBefore w:val="0"/>
        <w:tabs>
          <w:tab w:val="left" w:pos="1080"/>
        </w:tabs>
        <w:kinsoku/>
        <w:wordWrap/>
        <w:overflowPunct/>
        <w:topLinePunct w:val="0"/>
        <w:bidi w:val="0"/>
        <w:adjustRightInd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（十四）</w:t>
      </w:r>
      <w:r>
        <w:rPr>
          <w:rFonts w:ascii="仿宋" w:hAnsi="仿宋" w:eastAsia="仿宋"/>
          <w:color w:val="auto"/>
          <w:sz w:val="30"/>
          <w:szCs w:val="30"/>
        </w:rPr>
        <w:t>乙方应当按合同附件中的维修保养方案、标准规定各项全面履约。</w:t>
      </w:r>
    </w:p>
    <w:p w14:paraId="5FB93E81">
      <w:pPr>
        <w:keepNext w:val="0"/>
        <w:keepLines w:val="0"/>
        <w:pageBreakBefore w:val="0"/>
        <w:kinsoku/>
        <w:wordWrap/>
        <w:overflowPunct/>
        <w:topLinePunct w:val="0"/>
        <w:bidi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（十五）</w:t>
      </w:r>
      <w:r>
        <w:rPr>
          <w:rFonts w:ascii="仿宋" w:hAnsi="仿宋" w:eastAsia="仿宋"/>
          <w:color w:val="auto"/>
          <w:sz w:val="30"/>
          <w:szCs w:val="30"/>
        </w:rPr>
        <w:t>乙方员工</w:t>
      </w:r>
      <w:r>
        <w:rPr>
          <w:rFonts w:hint="eastAsia" w:ascii="仿宋" w:hAnsi="仿宋" w:eastAsia="仿宋"/>
          <w:color w:val="auto"/>
          <w:sz w:val="30"/>
          <w:szCs w:val="30"/>
        </w:rPr>
        <w:t>及其雇佣人员</w:t>
      </w:r>
      <w:r>
        <w:rPr>
          <w:rFonts w:ascii="仿宋" w:hAnsi="仿宋" w:eastAsia="仿宋"/>
          <w:color w:val="auto"/>
          <w:sz w:val="30"/>
          <w:szCs w:val="30"/>
        </w:rPr>
        <w:t>人身事故处理</w:t>
      </w:r>
    </w:p>
    <w:p w14:paraId="2D74DE0B">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1</w:t>
      </w:r>
      <w:r>
        <w:rPr>
          <w:rFonts w:hint="eastAsia" w:ascii="仿宋" w:hAnsi="仿宋" w:eastAsia="仿宋"/>
          <w:color w:val="auto"/>
          <w:sz w:val="30"/>
          <w:szCs w:val="30"/>
          <w:lang w:val="en-US" w:eastAsia="zh-CN"/>
        </w:rPr>
        <w:t>.</w:t>
      </w:r>
      <w:r>
        <w:rPr>
          <w:rFonts w:ascii="仿宋" w:hAnsi="仿宋" w:eastAsia="仿宋"/>
          <w:color w:val="auto"/>
          <w:sz w:val="30"/>
          <w:szCs w:val="30"/>
        </w:rPr>
        <w:t>乙方员工</w:t>
      </w:r>
      <w:r>
        <w:rPr>
          <w:rFonts w:hint="eastAsia" w:ascii="仿宋" w:hAnsi="仿宋" w:eastAsia="仿宋"/>
          <w:color w:val="auto"/>
          <w:sz w:val="30"/>
          <w:szCs w:val="30"/>
        </w:rPr>
        <w:t>及其雇佣人员</w:t>
      </w:r>
      <w:r>
        <w:rPr>
          <w:rFonts w:ascii="仿宋" w:hAnsi="仿宋" w:eastAsia="仿宋"/>
          <w:color w:val="auto"/>
          <w:sz w:val="30"/>
          <w:szCs w:val="30"/>
        </w:rPr>
        <w:t>在本合同施工/服务过程中出现人身伤害事故的，应由乙方自行承担医疗及其他一切赔偿费用，如因乙方违反本约定</w:t>
      </w:r>
      <w:r>
        <w:rPr>
          <w:rFonts w:hint="eastAsia" w:ascii="仿宋" w:hAnsi="仿宋" w:eastAsia="仿宋"/>
          <w:color w:val="auto"/>
          <w:sz w:val="30"/>
          <w:szCs w:val="30"/>
        </w:rPr>
        <w:t>造成甲方</w:t>
      </w:r>
      <w:r>
        <w:rPr>
          <w:rFonts w:ascii="仿宋" w:hAnsi="仿宋" w:eastAsia="仿宋"/>
          <w:color w:val="auto"/>
          <w:sz w:val="30"/>
          <w:szCs w:val="30"/>
        </w:rPr>
        <w:t>先行垫付损失的，乙方应在甲方垫付完毕之日起三日内偿还甲方，因乙方拒绝偿还甲方垫付款项而致使甲方产生的维权费用（包括但不限于：律师费、保全费、</w:t>
      </w:r>
      <w:r>
        <w:rPr>
          <w:rFonts w:hint="eastAsia" w:ascii="仿宋" w:hAnsi="仿宋" w:eastAsia="仿宋"/>
          <w:color w:val="auto"/>
          <w:sz w:val="30"/>
          <w:szCs w:val="30"/>
        </w:rPr>
        <w:t>诉讼财产保全担保责任保险费、</w:t>
      </w:r>
      <w:r>
        <w:rPr>
          <w:rFonts w:ascii="仿宋" w:hAnsi="仿宋" w:eastAsia="仿宋"/>
          <w:color w:val="auto"/>
          <w:sz w:val="30"/>
          <w:szCs w:val="30"/>
        </w:rPr>
        <w:t>公证费、鉴定费、差旅费）由乙方承担。</w:t>
      </w:r>
    </w:p>
    <w:p w14:paraId="1E3E13F4">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2</w:t>
      </w:r>
      <w:r>
        <w:rPr>
          <w:rFonts w:hint="eastAsia" w:ascii="仿宋" w:hAnsi="仿宋" w:eastAsia="仿宋"/>
          <w:color w:val="auto"/>
          <w:sz w:val="30"/>
          <w:szCs w:val="30"/>
          <w:lang w:val="en-US" w:eastAsia="zh-CN"/>
        </w:rPr>
        <w:t>.</w:t>
      </w:r>
      <w:r>
        <w:rPr>
          <w:rFonts w:ascii="仿宋" w:hAnsi="仿宋" w:eastAsia="仿宋"/>
          <w:color w:val="auto"/>
          <w:sz w:val="30"/>
          <w:szCs w:val="30"/>
        </w:rPr>
        <w:t>乙方应保证员工</w:t>
      </w:r>
      <w:r>
        <w:rPr>
          <w:rFonts w:hint="eastAsia" w:ascii="仿宋" w:hAnsi="仿宋" w:eastAsia="仿宋"/>
          <w:color w:val="auto"/>
          <w:sz w:val="30"/>
          <w:szCs w:val="30"/>
        </w:rPr>
        <w:t>及其雇佣人员</w:t>
      </w:r>
      <w:r>
        <w:rPr>
          <w:rFonts w:ascii="仿宋" w:hAnsi="仿宋" w:eastAsia="仿宋"/>
          <w:color w:val="auto"/>
          <w:sz w:val="30"/>
          <w:szCs w:val="30"/>
        </w:rPr>
        <w:t>出现人身伤害事故后，在出现事故当天即时安排人员进行替换，不得耽误施工/服务进度。</w:t>
      </w:r>
    </w:p>
    <w:p w14:paraId="7789C381">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3</w:t>
      </w:r>
      <w:r>
        <w:rPr>
          <w:rFonts w:hint="eastAsia" w:ascii="仿宋" w:hAnsi="仿宋" w:eastAsia="仿宋"/>
          <w:color w:val="auto"/>
          <w:sz w:val="30"/>
          <w:szCs w:val="30"/>
          <w:lang w:val="en-US" w:eastAsia="zh-CN"/>
        </w:rPr>
        <w:t>.</w:t>
      </w:r>
      <w:r>
        <w:rPr>
          <w:rFonts w:ascii="仿宋" w:hAnsi="仿宋" w:eastAsia="仿宋"/>
          <w:color w:val="auto"/>
          <w:sz w:val="30"/>
          <w:szCs w:val="30"/>
        </w:rPr>
        <w:t>乙方违反上述第</w:t>
      </w:r>
      <w:r>
        <w:rPr>
          <w:rFonts w:hint="eastAsia" w:ascii="仿宋" w:hAnsi="仿宋" w:eastAsia="仿宋"/>
          <w:color w:val="auto"/>
          <w:sz w:val="30"/>
          <w:szCs w:val="30"/>
        </w:rPr>
        <w:t>1</w:t>
      </w:r>
      <w:r>
        <w:rPr>
          <w:rFonts w:ascii="仿宋" w:hAnsi="仿宋" w:eastAsia="仿宋"/>
          <w:color w:val="auto"/>
          <w:sz w:val="30"/>
          <w:szCs w:val="30"/>
        </w:rPr>
        <w:t>、</w:t>
      </w:r>
      <w:r>
        <w:rPr>
          <w:rFonts w:hint="eastAsia" w:ascii="仿宋" w:hAnsi="仿宋" w:eastAsia="仿宋"/>
          <w:color w:val="auto"/>
          <w:sz w:val="30"/>
          <w:szCs w:val="30"/>
        </w:rPr>
        <w:t>2</w:t>
      </w:r>
      <w:r>
        <w:rPr>
          <w:rFonts w:ascii="仿宋" w:hAnsi="仿宋" w:eastAsia="仿宋"/>
          <w:color w:val="auto"/>
          <w:sz w:val="30"/>
          <w:szCs w:val="30"/>
        </w:rPr>
        <w:t>款规定的，甲方可随时解除合同并不承担任何责任；乙方造成甲方垫付费用及维权费用</w:t>
      </w:r>
      <w:r>
        <w:rPr>
          <w:rFonts w:hint="eastAsia" w:ascii="仿宋" w:hAnsi="仿宋" w:eastAsia="仿宋"/>
          <w:color w:val="auto"/>
          <w:sz w:val="30"/>
          <w:szCs w:val="30"/>
        </w:rPr>
        <w:t>损失及</w:t>
      </w:r>
      <w:r>
        <w:rPr>
          <w:rFonts w:ascii="仿宋" w:hAnsi="仿宋" w:eastAsia="仿宋"/>
          <w:color w:val="auto"/>
          <w:sz w:val="30"/>
          <w:szCs w:val="30"/>
        </w:rPr>
        <w:t>其他损失</w:t>
      </w:r>
      <w:r>
        <w:rPr>
          <w:rFonts w:hint="eastAsia" w:ascii="仿宋" w:hAnsi="仿宋" w:eastAsia="仿宋"/>
          <w:color w:val="auto"/>
          <w:sz w:val="30"/>
          <w:szCs w:val="30"/>
        </w:rPr>
        <w:t>的</w:t>
      </w:r>
      <w:r>
        <w:rPr>
          <w:rFonts w:ascii="仿宋" w:hAnsi="仿宋" w:eastAsia="仿宋"/>
          <w:color w:val="auto"/>
          <w:sz w:val="30"/>
          <w:szCs w:val="30"/>
        </w:rPr>
        <w:t>，</w:t>
      </w:r>
      <w:r>
        <w:rPr>
          <w:rFonts w:hint="eastAsia" w:ascii="仿宋" w:hAnsi="仿宋" w:eastAsia="仿宋"/>
          <w:color w:val="auto"/>
          <w:sz w:val="30"/>
          <w:szCs w:val="30"/>
        </w:rPr>
        <w:t>均</w:t>
      </w:r>
      <w:r>
        <w:rPr>
          <w:rFonts w:ascii="仿宋" w:hAnsi="仿宋" w:eastAsia="仿宋"/>
          <w:color w:val="auto"/>
          <w:sz w:val="30"/>
          <w:szCs w:val="30"/>
        </w:rPr>
        <w:t>应予赔偿。</w:t>
      </w:r>
    </w:p>
    <w:p w14:paraId="7512B2E8">
      <w:pPr>
        <w:keepNext w:val="0"/>
        <w:keepLines w:val="0"/>
        <w:pageBreakBefore w:val="0"/>
        <w:kinsoku/>
        <w:wordWrap/>
        <w:overflowPunct/>
        <w:topLinePunct w:val="0"/>
        <w:bidi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（十六）</w:t>
      </w:r>
      <w:r>
        <w:rPr>
          <w:rFonts w:ascii="仿宋" w:hAnsi="仿宋" w:eastAsia="仿宋"/>
          <w:color w:val="auto"/>
          <w:sz w:val="30"/>
          <w:szCs w:val="30"/>
        </w:rPr>
        <w:t>第三方人身、财产事故处理</w:t>
      </w:r>
    </w:p>
    <w:p w14:paraId="06ED0E65">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1</w:t>
      </w:r>
      <w:r>
        <w:rPr>
          <w:rFonts w:hint="eastAsia" w:ascii="仿宋" w:hAnsi="仿宋" w:eastAsia="仿宋"/>
          <w:color w:val="auto"/>
          <w:sz w:val="30"/>
          <w:szCs w:val="30"/>
          <w:lang w:val="en-US" w:eastAsia="zh-CN"/>
        </w:rPr>
        <w:t>.</w:t>
      </w:r>
      <w:r>
        <w:rPr>
          <w:rFonts w:ascii="仿宋" w:hAnsi="仿宋" w:eastAsia="仿宋"/>
          <w:color w:val="auto"/>
          <w:sz w:val="30"/>
          <w:szCs w:val="30"/>
        </w:rPr>
        <w:t>如乙方</w:t>
      </w:r>
      <w:r>
        <w:rPr>
          <w:rFonts w:hint="eastAsia" w:ascii="仿宋" w:hAnsi="仿宋" w:eastAsia="仿宋"/>
          <w:color w:val="auto"/>
          <w:sz w:val="30"/>
          <w:szCs w:val="30"/>
        </w:rPr>
        <w:t>或</w:t>
      </w:r>
      <w:r>
        <w:rPr>
          <w:rFonts w:ascii="仿宋" w:hAnsi="仿宋" w:eastAsia="仿宋"/>
          <w:color w:val="auto"/>
          <w:sz w:val="30"/>
          <w:szCs w:val="30"/>
        </w:rPr>
        <w:t>其员工、雇用人员在施工/服务过程中造成其他第三方人身、财产损害的，应由乙方自行承担损害赔偿责任。如因乙方违反本约定</w:t>
      </w:r>
      <w:r>
        <w:rPr>
          <w:rFonts w:hint="eastAsia" w:ascii="仿宋" w:hAnsi="仿宋" w:eastAsia="仿宋"/>
          <w:color w:val="auto"/>
          <w:sz w:val="30"/>
          <w:szCs w:val="30"/>
        </w:rPr>
        <w:t>造成甲方</w:t>
      </w:r>
      <w:r>
        <w:rPr>
          <w:rFonts w:ascii="仿宋" w:hAnsi="仿宋" w:eastAsia="仿宋"/>
          <w:color w:val="auto"/>
          <w:sz w:val="30"/>
          <w:szCs w:val="30"/>
        </w:rPr>
        <w:t>先行垫付损失的，乙方应在甲方垫付完毕之日起三日内偿还甲方，因乙方拒绝偿还甲方垫付款项而致使甲方产生的维权费用（包括但不限于：律师费、保全费、</w:t>
      </w:r>
      <w:r>
        <w:rPr>
          <w:rFonts w:hint="eastAsia" w:ascii="仿宋" w:hAnsi="仿宋" w:eastAsia="仿宋"/>
          <w:color w:val="auto"/>
          <w:sz w:val="30"/>
          <w:szCs w:val="30"/>
        </w:rPr>
        <w:t>诉讼财产保全担保责任保险费、</w:t>
      </w:r>
      <w:r>
        <w:rPr>
          <w:rFonts w:ascii="仿宋" w:hAnsi="仿宋" w:eastAsia="仿宋"/>
          <w:color w:val="auto"/>
          <w:sz w:val="30"/>
          <w:szCs w:val="30"/>
        </w:rPr>
        <w:t>公证费、鉴定费、差旅费）由乙方承担。</w:t>
      </w:r>
    </w:p>
    <w:p w14:paraId="7CCD71BA">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2</w:t>
      </w:r>
      <w:r>
        <w:rPr>
          <w:rFonts w:hint="eastAsia" w:ascii="仿宋" w:hAnsi="仿宋" w:eastAsia="仿宋"/>
          <w:color w:val="auto"/>
          <w:sz w:val="30"/>
          <w:szCs w:val="30"/>
          <w:lang w:val="en-US" w:eastAsia="zh-CN"/>
        </w:rPr>
        <w:t>.</w:t>
      </w:r>
      <w:r>
        <w:rPr>
          <w:rFonts w:ascii="仿宋" w:hAnsi="仿宋" w:eastAsia="仿宋"/>
          <w:color w:val="auto"/>
          <w:sz w:val="30"/>
          <w:szCs w:val="30"/>
        </w:rPr>
        <w:t>乙方违反上述第</w:t>
      </w:r>
      <w:r>
        <w:rPr>
          <w:rFonts w:hint="eastAsia" w:ascii="仿宋" w:hAnsi="仿宋" w:eastAsia="仿宋"/>
          <w:color w:val="auto"/>
          <w:sz w:val="30"/>
          <w:szCs w:val="30"/>
        </w:rPr>
        <w:t>1</w:t>
      </w:r>
      <w:r>
        <w:rPr>
          <w:rFonts w:ascii="仿宋" w:hAnsi="仿宋" w:eastAsia="仿宋"/>
          <w:color w:val="auto"/>
          <w:sz w:val="30"/>
          <w:szCs w:val="30"/>
        </w:rPr>
        <w:t>款规定的，甲方可随时解除合同并不承担任何责任；乙方造成甲方垫付费用及维权费用</w:t>
      </w:r>
      <w:r>
        <w:rPr>
          <w:rFonts w:hint="eastAsia" w:ascii="仿宋" w:hAnsi="仿宋" w:eastAsia="仿宋"/>
          <w:color w:val="auto"/>
          <w:sz w:val="30"/>
          <w:szCs w:val="30"/>
        </w:rPr>
        <w:t>损失及</w:t>
      </w:r>
      <w:r>
        <w:rPr>
          <w:rFonts w:ascii="仿宋" w:hAnsi="仿宋" w:eastAsia="仿宋"/>
          <w:color w:val="auto"/>
          <w:sz w:val="30"/>
          <w:szCs w:val="30"/>
        </w:rPr>
        <w:t>其他损失</w:t>
      </w:r>
      <w:r>
        <w:rPr>
          <w:rFonts w:hint="eastAsia" w:ascii="仿宋" w:hAnsi="仿宋" w:eastAsia="仿宋"/>
          <w:color w:val="auto"/>
          <w:sz w:val="30"/>
          <w:szCs w:val="30"/>
        </w:rPr>
        <w:t>的</w:t>
      </w:r>
      <w:r>
        <w:rPr>
          <w:rFonts w:ascii="仿宋" w:hAnsi="仿宋" w:eastAsia="仿宋"/>
          <w:color w:val="auto"/>
          <w:sz w:val="30"/>
          <w:szCs w:val="30"/>
        </w:rPr>
        <w:t>，</w:t>
      </w:r>
      <w:r>
        <w:rPr>
          <w:rFonts w:hint="eastAsia" w:ascii="仿宋" w:hAnsi="仿宋" w:eastAsia="仿宋"/>
          <w:color w:val="auto"/>
          <w:sz w:val="30"/>
          <w:szCs w:val="30"/>
        </w:rPr>
        <w:t>均</w:t>
      </w:r>
      <w:r>
        <w:rPr>
          <w:rFonts w:ascii="仿宋" w:hAnsi="仿宋" w:eastAsia="仿宋"/>
          <w:color w:val="auto"/>
          <w:sz w:val="30"/>
          <w:szCs w:val="30"/>
        </w:rPr>
        <w:t>应予赔偿。</w:t>
      </w:r>
    </w:p>
    <w:p w14:paraId="5BEAF040">
      <w:pPr>
        <w:keepNext w:val="0"/>
        <w:keepLines w:val="0"/>
        <w:pageBreakBefore w:val="0"/>
        <w:kinsoku/>
        <w:wordWrap/>
        <w:overflowPunct/>
        <w:topLinePunct w:val="0"/>
        <w:bidi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（十七）</w:t>
      </w:r>
      <w:r>
        <w:rPr>
          <w:rFonts w:ascii="仿宋" w:hAnsi="仿宋" w:eastAsia="仿宋"/>
          <w:color w:val="auto"/>
          <w:sz w:val="30"/>
          <w:szCs w:val="30"/>
        </w:rPr>
        <w:t>财产损坏赔偿责任</w:t>
      </w:r>
    </w:p>
    <w:p w14:paraId="267F883D">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olor w:val="auto"/>
          <w:sz w:val="30"/>
          <w:szCs w:val="30"/>
        </w:rPr>
      </w:pPr>
      <w:r>
        <w:rPr>
          <w:rFonts w:ascii="仿宋" w:hAnsi="仿宋" w:eastAsia="仿宋"/>
          <w:color w:val="auto"/>
          <w:sz w:val="30"/>
          <w:szCs w:val="30"/>
        </w:rPr>
        <w:t>乙方</w:t>
      </w:r>
      <w:r>
        <w:rPr>
          <w:rFonts w:hint="eastAsia" w:ascii="仿宋" w:hAnsi="仿宋" w:eastAsia="仿宋"/>
          <w:color w:val="auto"/>
          <w:sz w:val="30"/>
          <w:szCs w:val="30"/>
        </w:rPr>
        <w:t>或</w:t>
      </w:r>
      <w:r>
        <w:rPr>
          <w:rFonts w:ascii="仿宋" w:hAnsi="仿宋" w:eastAsia="仿宋"/>
          <w:color w:val="auto"/>
          <w:sz w:val="30"/>
          <w:szCs w:val="30"/>
        </w:rPr>
        <w:t>其员工</w:t>
      </w:r>
      <w:r>
        <w:rPr>
          <w:rFonts w:hint="eastAsia" w:ascii="仿宋" w:hAnsi="仿宋" w:eastAsia="仿宋"/>
          <w:color w:val="auto"/>
          <w:sz w:val="30"/>
          <w:szCs w:val="30"/>
        </w:rPr>
        <w:t>、雇佣人员</w:t>
      </w:r>
      <w:r>
        <w:rPr>
          <w:rFonts w:ascii="仿宋" w:hAnsi="仿宋" w:eastAsia="仿宋"/>
          <w:color w:val="auto"/>
          <w:sz w:val="30"/>
          <w:szCs w:val="30"/>
        </w:rPr>
        <w:t>在施工/服务过程中导致甲方或第三方已有财产损失的（无论故意或过失），应按照购置价赔偿。赔偿标准以甲方或第三方提供的发票或收款收据或其他可以佐证的凭证为准。</w:t>
      </w:r>
    </w:p>
    <w:p w14:paraId="2CCF22D5">
      <w:pPr>
        <w:keepNext w:val="0"/>
        <w:keepLines w:val="0"/>
        <w:pageBreakBefore w:val="0"/>
        <w:kinsoku/>
        <w:wordWrap/>
        <w:overflowPunct/>
        <w:topLinePunct w:val="0"/>
        <w:bidi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（十八）</w:t>
      </w:r>
      <w:r>
        <w:rPr>
          <w:rFonts w:ascii="仿宋" w:hAnsi="仿宋" w:eastAsia="仿宋"/>
          <w:color w:val="auto"/>
          <w:sz w:val="30"/>
          <w:szCs w:val="30"/>
        </w:rPr>
        <w:t>行政/刑事责任</w:t>
      </w:r>
    </w:p>
    <w:p w14:paraId="03A6AFB8">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1</w:t>
      </w:r>
      <w:r>
        <w:rPr>
          <w:rFonts w:hint="eastAsia" w:ascii="仿宋" w:hAnsi="仿宋" w:eastAsia="仿宋"/>
          <w:color w:val="auto"/>
          <w:sz w:val="30"/>
          <w:szCs w:val="30"/>
          <w:lang w:val="en-US" w:eastAsia="zh-CN"/>
        </w:rPr>
        <w:t>.</w:t>
      </w:r>
      <w:r>
        <w:rPr>
          <w:rFonts w:ascii="仿宋" w:hAnsi="仿宋" w:eastAsia="仿宋"/>
          <w:color w:val="auto"/>
          <w:sz w:val="30"/>
          <w:szCs w:val="30"/>
        </w:rPr>
        <w:t>乙方或其员工、雇佣人员在施工/服务过程中因违规操作、操作不当或因资质失效导致甲方或本合同对应服务项目遭受行政处罚的，乙方应无条件配合甲方处理协调，涉及行政罚款及损失赔偿的，应由乙方承担全部责任，如因乙方违反本约定</w:t>
      </w:r>
      <w:r>
        <w:rPr>
          <w:rFonts w:hint="eastAsia" w:ascii="仿宋" w:hAnsi="仿宋" w:eastAsia="仿宋"/>
          <w:color w:val="auto"/>
          <w:sz w:val="30"/>
          <w:szCs w:val="30"/>
        </w:rPr>
        <w:t>造成甲方</w:t>
      </w:r>
      <w:r>
        <w:rPr>
          <w:rFonts w:ascii="仿宋" w:hAnsi="仿宋" w:eastAsia="仿宋"/>
          <w:color w:val="auto"/>
          <w:sz w:val="30"/>
          <w:szCs w:val="30"/>
        </w:rPr>
        <w:t>先行垫付损失或</w:t>
      </w:r>
      <w:r>
        <w:rPr>
          <w:rFonts w:hint="eastAsia" w:ascii="仿宋" w:hAnsi="仿宋" w:eastAsia="仿宋"/>
          <w:color w:val="auto"/>
          <w:sz w:val="30"/>
          <w:szCs w:val="30"/>
        </w:rPr>
        <w:t>其他款项</w:t>
      </w:r>
      <w:r>
        <w:rPr>
          <w:rFonts w:ascii="仿宋" w:hAnsi="仿宋" w:eastAsia="仿宋"/>
          <w:color w:val="auto"/>
          <w:sz w:val="30"/>
          <w:szCs w:val="30"/>
        </w:rPr>
        <w:t>的，乙方应在甲方垫付</w:t>
      </w:r>
      <w:r>
        <w:rPr>
          <w:rFonts w:hint="eastAsia" w:ascii="仿宋" w:hAnsi="仿宋" w:eastAsia="仿宋"/>
          <w:color w:val="auto"/>
          <w:sz w:val="30"/>
          <w:szCs w:val="30"/>
        </w:rPr>
        <w:t>、支付</w:t>
      </w:r>
      <w:r>
        <w:rPr>
          <w:rFonts w:ascii="仿宋" w:hAnsi="仿宋" w:eastAsia="仿宋"/>
          <w:color w:val="auto"/>
          <w:sz w:val="30"/>
          <w:szCs w:val="30"/>
        </w:rPr>
        <w:t>完毕之日起三日内偿还甲方，因乙方拒绝偿还甲方垫付款项而致使甲方产生的维权费用（包括但不限于：律师费、保全费、</w:t>
      </w:r>
      <w:r>
        <w:rPr>
          <w:rFonts w:hint="eastAsia" w:ascii="仿宋" w:hAnsi="仿宋" w:eastAsia="仿宋"/>
          <w:color w:val="auto"/>
          <w:sz w:val="30"/>
          <w:szCs w:val="30"/>
        </w:rPr>
        <w:t>诉讼财产保全担保怎保险费、</w:t>
      </w:r>
      <w:r>
        <w:rPr>
          <w:rFonts w:ascii="仿宋" w:hAnsi="仿宋" w:eastAsia="仿宋"/>
          <w:color w:val="auto"/>
          <w:sz w:val="30"/>
          <w:szCs w:val="30"/>
        </w:rPr>
        <w:t>公证费、鉴定费、差旅费）由乙方承担。</w:t>
      </w:r>
    </w:p>
    <w:p w14:paraId="26FD0B13">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2</w:t>
      </w:r>
      <w:r>
        <w:rPr>
          <w:rFonts w:hint="eastAsia" w:ascii="仿宋" w:hAnsi="仿宋" w:eastAsia="仿宋"/>
          <w:color w:val="auto"/>
          <w:sz w:val="30"/>
          <w:szCs w:val="30"/>
          <w:lang w:val="en-US" w:eastAsia="zh-CN"/>
        </w:rPr>
        <w:t>.</w:t>
      </w:r>
      <w:r>
        <w:rPr>
          <w:rFonts w:ascii="仿宋" w:hAnsi="仿宋" w:eastAsia="仿宋"/>
          <w:color w:val="auto"/>
          <w:sz w:val="30"/>
          <w:szCs w:val="30"/>
        </w:rPr>
        <w:t>乙方在施工/服务过程中造成安全责任事故的（无论最终是否被政府认定为“安全生产事故”），一切经济责任和其他行政、刑事责任</w:t>
      </w:r>
      <w:r>
        <w:rPr>
          <w:rFonts w:hint="eastAsia" w:ascii="仿宋" w:hAnsi="仿宋" w:eastAsia="仿宋"/>
          <w:color w:val="auto"/>
          <w:sz w:val="30"/>
          <w:szCs w:val="30"/>
        </w:rPr>
        <w:t>（赔偿、罚款、罚金、滞纳金）</w:t>
      </w:r>
      <w:r>
        <w:rPr>
          <w:rFonts w:ascii="仿宋" w:hAnsi="仿宋" w:eastAsia="仿宋"/>
          <w:color w:val="auto"/>
          <w:sz w:val="30"/>
          <w:szCs w:val="30"/>
        </w:rPr>
        <w:t>均由乙方承担。同时，乙方应无条件配合甲方进行事故后续安排工作，直到全部处理完毕为止。涉及行政责任或刑事责任的，乙方应无条件配合甲方，直到甲方收到政府部门正式结案文件为止。如因乙方违反本约定</w:t>
      </w:r>
      <w:r>
        <w:rPr>
          <w:rFonts w:hint="eastAsia" w:ascii="仿宋" w:hAnsi="仿宋" w:eastAsia="仿宋"/>
          <w:color w:val="auto"/>
          <w:sz w:val="30"/>
          <w:szCs w:val="30"/>
        </w:rPr>
        <w:t>造成甲方</w:t>
      </w:r>
      <w:r>
        <w:rPr>
          <w:rFonts w:ascii="仿宋" w:hAnsi="仿宋" w:eastAsia="仿宋"/>
          <w:color w:val="auto"/>
          <w:sz w:val="30"/>
          <w:szCs w:val="30"/>
        </w:rPr>
        <w:t>先行垫付损失或</w:t>
      </w:r>
      <w:r>
        <w:rPr>
          <w:rFonts w:hint="eastAsia" w:ascii="仿宋" w:hAnsi="仿宋" w:eastAsia="仿宋"/>
          <w:color w:val="auto"/>
          <w:sz w:val="30"/>
          <w:szCs w:val="30"/>
        </w:rPr>
        <w:t>支付其他款项</w:t>
      </w:r>
      <w:r>
        <w:rPr>
          <w:rFonts w:ascii="仿宋" w:hAnsi="仿宋" w:eastAsia="仿宋"/>
          <w:color w:val="auto"/>
          <w:sz w:val="30"/>
          <w:szCs w:val="30"/>
        </w:rPr>
        <w:t>的，乙方应在甲方垫付</w:t>
      </w:r>
      <w:r>
        <w:rPr>
          <w:rFonts w:hint="eastAsia" w:ascii="仿宋" w:hAnsi="仿宋" w:eastAsia="仿宋"/>
          <w:color w:val="auto"/>
          <w:sz w:val="30"/>
          <w:szCs w:val="30"/>
        </w:rPr>
        <w:t>、支付</w:t>
      </w:r>
      <w:r>
        <w:rPr>
          <w:rFonts w:ascii="仿宋" w:hAnsi="仿宋" w:eastAsia="仿宋"/>
          <w:color w:val="auto"/>
          <w:sz w:val="30"/>
          <w:szCs w:val="30"/>
        </w:rPr>
        <w:t>完毕之日起三日内偿还甲方，因乙方拒绝偿还甲方垫付款项而致使甲方产生的维权费用（包括但不限于：律师费、保全费、</w:t>
      </w:r>
      <w:r>
        <w:rPr>
          <w:rFonts w:hint="eastAsia" w:ascii="仿宋" w:hAnsi="仿宋" w:eastAsia="仿宋"/>
          <w:color w:val="auto"/>
          <w:sz w:val="30"/>
          <w:szCs w:val="30"/>
        </w:rPr>
        <w:t>诉讼财产保全担保怎保险费、</w:t>
      </w:r>
      <w:r>
        <w:rPr>
          <w:rFonts w:ascii="仿宋" w:hAnsi="仿宋" w:eastAsia="仿宋"/>
          <w:color w:val="auto"/>
          <w:sz w:val="30"/>
          <w:szCs w:val="30"/>
        </w:rPr>
        <w:t>公证费、鉴定费、差旅费）由乙方承担。</w:t>
      </w:r>
    </w:p>
    <w:p w14:paraId="09C81120">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3</w:t>
      </w:r>
      <w:r>
        <w:rPr>
          <w:rFonts w:hint="eastAsia" w:ascii="仿宋" w:hAnsi="仿宋" w:eastAsia="仿宋"/>
          <w:color w:val="auto"/>
          <w:sz w:val="30"/>
          <w:szCs w:val="30"/>
          <w:lang w:val="en-US" w:eastAsia="zh-CN"/>
        </w:rPr>
        <w:t>.</w:t>
      </w:r>
      <w:r>
        <w:rPr>
          <w:rFonts w:ascii="仿宋" w:hAnsi="仿宋" w:eastAsia="仿宋"/>
          <w:color w:val="auto"/>
          <w:sz w:val="30"/>
          <w:szCs w:val="30"/>
        </w:rPr>
        <w:t>乙方违反上述第</w:t>
      </w:r>
      <w:r>
        <w:rPr>
          <w:rFonts w:hint="eastAsia" w:ascii="仿宋" w:hAnsi="仿宋" w:eastAsia="仿宋"/>
          <w:color w:val="auto"/>
          <w:sz w:val="30"/>
          <w:szCs w:val="30"/>
        </w:rPr>
        <w:t>1</w:t>
      </w:r>
      <w:r>
        <w:rPr>
          <w:rFonts w:ascii="仿宋" w:hAnsi="仿宋" w:eastAsia="仿宋"/>
          <w:color w:val="auto"/>
          <w:sz w:val="30"/>
          <w:szCs w:val="30"/>
        </w:rPr>
        <w:t>、</w:t>
      </w:r>
      <w:r>
        <w:rPr>
          <w:rFonts w:hint="eastAsia" w:ascii="仿宋" w:hAnsi="仿宋" w:eastAsia="仿宋"/>
          <w:color w:val="auto"/>
          <w:sz w:val="30"/>
          <w:szCs w:val="30"/>
        </w:rPr>
        <w:t>2</w:t>
      </w:r>
      <w:r>
        <w:rPr>
          <w:rFonts w:ascii="仿宋" w:hAnsi="仿宋" w:eastAsia="仿宋"/>
          <w:color w:val="auto"/>
          <w:sz w:val="30"/>
          <w:szCs w:val="30"/>
        </w:rPr>
        <w:t>款规定的，甲方可随时解除合同并不承担任何责任；乙方造成甲方垫付费用及维权费用</w:t>
      </w:r>
      <w:r>
        <w:rPr>
          <w:rFonts w:hint="eastAsia" w:ascii="仿宋" w:hAnsi="仿宋" w:eastAsia="仿宋"/>
          <w:color w:val="auto"/>
          <w:sz w:val="30"/>
          <w:szCs w:val="30"/>
        </w:rPr>
        <w:t>损失及</w:t>
      </w:r>
      <w:r>
        <w:rPr>
          <w:rFonts w:ascii="仿宋" w:hAnsi="仿宋" w:eastAsia="仿宋"/>
          <w:color w:val="auto"/>
          <w:sz w:val="30"/>
          <w:szCs w:val="30"/>
        </w:rPr>
        <w:t>其他损失</w:t>
      </w:r>
      <w:r>
        <w:rPr>
          <w:rFonts w:hint="eastAsia" w:ascii="仿宋" w:hAnsi="仿宋" w:eastAsia="仿宋"/>
          <w:color w:val="auto"/>
          <w:sz w:val="30"/>
          <w:szCs w:val="30"/>
        </w:rPr>
        <w:t>的</w:t>
      </w:r>
      <w:r>
        <w:rPr>
          <w:rFonts w:ascii="仿宋" w:hAnsi="仿宋" w:eastAsia="仿宋"/>
          <w:color w:val="auto"/>
          <w:sz w:val="30"/>
          <w:szCs w:val="30"/>
        </w:rPr>
        <w:t>，</w:t>
      </w:r>
      <w:r>
        <w:rPr>
          <w:rFonts w:hint="eastAsia" w:ascii="仿宋" w:hAnsi="仿宋" w:eastAsia="仿宋"/>
          <w:color w:val="auto"/>
          <w:sz w:val="30"/>
          <w:szCs w:val="30"/>
        </w:rPr>
        <w:t>均</w:t>
      </w:r>
      <w:r>
        <w:rPr>
          <w:rFonts w:ascii="仿宋" w:hAnsi="仿宋" w:eastAsia="仿宋"/>
          <w:color w:val="auto"/>
          <w:sz w:val="30"/>
          <w:szCs w:val="30"/>
        </w:rPr>
        <w:t>应予赔偿。</w:t>
      </w:r>
    </w:p>
    <w:p w14:paraId="3DAAE60B">
      <w:pPr>
        <w:keepNext w:val="0"/>
        <w:keepLines w:val="0"/>
        <w:pageBreakBefore w:val="0"/>
        <w:tabs>
          <w:tab w:val="left" w:pos="1080"/>
        </w:tabs>
        <w:kinsoku/>
        <w:wordWrap/>
        <w:overflowPunct/>
        <w:topLinePunct w:val="0"/>
        <w:bidi w:val="0"/>
        <w:snapToGrid w:val="0"/>
        <w:spacing w:line="480" w:lineRule="exact"/>
        <w:ind w:firstLine="300" w:firstLineChars="100"/>
        <w:textAlignment w:val="auto"/>
        <w:rPr>
          <w:rFonts w:ascii="仿宋" w:hAnsi="仿宋" w:eastAsia="仿宋"/>
          <w:b/>
          <w:color w:val="auto"/>
          <w:sz w:val="30"/>
          <w:szCs w:val="30"/>
        </w:rPr>
      </w:pPr>
      <w:r>
        <w:rPr>
          <w:rFonts w:hint="eastAsia" w:ascii="仿宋" w:hAnsi="仿宋" w:eastAsia="仿宋"/>
          <w:color w:val="auto"/>
          <w:sz w:val="30"/>
          <w:szCs w:val="30"/>
        </w:rPr>
        <w:t>（十九）每年12月份，乙方应根据备件使用寿命及现状提交下年度需要更换的配件清单。</w:t>
      </w:r>
    </w:p>
    <w:p w14:paraId="5D1BEC2C">
      <w:pPr>
        <w:keepNext w:val="0"/>
        <w:keepLines w:val="0"/>
        <w:pageBreakBefore w:val="0"/>
        <w:tabs>
          <w:tab w:val="left" w:pos="1080"/>
        </w:tabs>
        <w:kinsoku/>
        <w:wordWrap/>
        <w:overflowPunct/>
        <w:topLinePunct w:val="0"/>
        <w:bidi w:val="0"/>
        <w:snapToGrid w:val="0"/>
        <w:spacing w:line="480" w:lineRule="exact"/>
        <w:ind w:firstLine="300" w:firstLineChars="100"/>
        <w:textAlignment w:val="auto"/>
        <w:rPr>
          <w:rFonts w:ascii="仿宋" w:hAnsi="仿宋" w:eastAsia="仿宋"/>
          <w:color w:val="auto"/>
          <w:sz w:val="30"/>
          <w:szCs w:val="30"/>
        </w:rPr>
      </w:pPr>
      <w:r>
        <w:rPr>
          <w:rFonts w:hint="eastAsia" w:ascii="仿宋" w:hAnsi="仿宋" w:eastAsia="仿宋"/>
          <w:color w:val="auto"/>
          <w:sz w:val="30"/>
          <w:szCs w:val="30"/>
        </w:rPr>
        <w:t>（二十）乙方每</w:t>
      </w:r>
      <w:r>
        <w:rPr>
          <w:rFonts w:hint="eastAsia" w:ascii="仿宋" w:hAnsi="仿宋" w:eastAsia="仿宋"/>
          <w:color w:val="auto"/>
          <w:sz w:val="30"/>
          <w:szCs w:val="30"/>
          <w:u w:val="single"/>
        </w:rPr>
        <w:t>季度</w:t>
      </w:r>
      <w:r>
        <w:rPr>
          <w:rFonts w:hint="eastAsia" w:ascii="仿宋" w:hAnsi="仿宋" w:eastAsia="仿宋"/>
          <w:color w:val="auto"/>
          <w:sz w:val="30"/>
          <w:szCs w:val="30"/>
        </w:rPr>
        <w:t>向甲方提交维保总结，总结模板参见附件二。乙方</w:t>
      </w:r>
      <w:r>
        <w:rPr>
          <w:rFonts w:hint="eastAsia" w:ascii="仿宋" w:hAnsi="仿宋" w:eastAsia="仿宋"/>
          <w:color w:val="auto"/>
          <w:sz w:val="30"/>
          <w:szCs w:val="30"/>
          <w:u w:val="single"/>
          <w:lang w:val="en-US" w:eastAsia="zh-CN"/>
        </w:rPr>
        <w:t xml:space="preserve">   </w:t>
      </w:r>
      <w:r>
        <w:rPr>
          <w:rFonts w:hint="eastAsia" w:ascii="仿宋" w:hAnsi="仿宋" w:eastAsia="仿宋"/>
          <w:color w:val="auto"/>
          <w:sz w:val="30"/>
          <w:szCs w:val="30"/>
        </w:rPr>
        <w:t>年</w:t>
      </w:r>
      <w:r>
        <w:rPr>
          <w:rFonts w:hint="eastAsia" w:ascii="仿宋" w:hAnsi="仿宋" w:eastAsia="仿宋"/>
          <w:color w:val="auto"/>
          <w:sz w:val="30"/>
          <w:szCs w:val="30"/>
          <w:u w:val="single"/>
          <w:lang w:val="en-US" w:eastAsia="zh-CN"/>
        </w:rPr>
        <w:t xml:space="preserve">  </w:t>
      </w:r>
      <w:r>
        <w:rPr>
          <w:rFonts w:hint="eastAsia" w:ascii="仿宋" w:hAnsi="仿宋" w:eastAsia="仿宋"/>
          <w:color w:val="auto"/>
          <w:sz w:val="30"/>
          <w:szCs w:val="30"/>
        </w:rPr>
        <w:t>月</w:t>
      </w:r>
      <w:r>
        <w:rPr>
          <w:rFonts w:hint="eastAsia" w:ascii="仿宋" w:hAnsi="仿宋" w:eastAsia="仿宋"/>
          <w:color w:val="auto"/>
          <w:sz w:val="30"/>
          <w:szCs w:val="30"/>
          <w:u w:val="single"/>
          <w:lang w:val="en-US" w:eastAsia="zh-CN"/>
        </w:rPr>
        <w:t xml:space="preserve">  </w:t>
      </w:r>
      <w:r>
        <w:rPr>
          <w:rFonts w:hint="eastAsia" w:ascii="仿宋" w:hAnsi="仿宋" w:eastAsia="仿宋"/>
          <w:color w:val="auto"/>
          <w:sz w:val="30"/>
          <w:szCs w:val="30"/>
        </w:rPr>
        <w:t>日应对消防设施设备进行一次年度检测，并取得当地主管部门认可的检测报告。</w:t>
      </w:r>
    </w:p>
    <w:p w14:paraId="36819036">
      <w:pPr>
        <w:keepNext w:val="0"/>
        <w:keepLines w:val="0"/>
        <w:pageBreakBefore w:val="0"/>
        <w:tabs>
          <w:tab w:val="left" w:pos="1080"/>
        </w:tabs>
        <w:kinsoku/>
        <w:wordWrap/>
        <w:overflowPunct/>
        <w:topLinePunct w:val="0"/>
        <w:bidi w:val="0"/>
        <w:snapToGrid w:val="0"/>
        <w:spacing w:line="480" w:lineRule="exact"/>
        <w:ind w:firstLine="300" w:firstLineChars="100"/>
        <w:textAlignment w:val="auto"/>
        <w:rPr>
          <w:rFonts w:ascii="仿宋" w:hAnsi="仿宋" w:eastAsia="仿宋"/>
          <w:b/>
          <w:color w:val="auto"/>
          <w:sz w:val="30"/>
          <w:szCs w:val="30"/>
        </w:rPr>
      </w:pPr>
      <w:r>
        <w:rPr>
          <w:rFonts w:hint="eastAsia" w:ascii="仿宋" w:hAnsi="仿宋" w:eastAsia="仿宋"/>
          <w:color w:val="auto"/>
          <w:sz w:val="30"/>
          <w:szCs w:val="30"/>
        </w:rPr>
        <w:t>（二十一）乙方提交的维保记录中，涉及测试的应由打印凭条作为支持，否则视为无效，按</w:t>
      </w:r>
      <w:r>
        <w:rPr>
          <w:rFonts w:hint="eastAsia" w:ascii="仿宋" w:hAnsi="仿宋" w:eastAsia="仿宋"/>
          <w:color w:val="auto"/>
          <w:sz w:val="30"/>
          <w:szCs w:val="30"/>
          <w:u w:val="single"/>
        </w:rPr>
        <w:t xml:space="preserve"> 300元/次 </w:t>
      </w:r>
      <w:r>
        <w:rPr>
          <w:rFonts w:hint="eastAsia" w:ascii="仿宋" w:hAnsi="仿宋" w:eastAsia="仿宋"/>
          <w:color w:val="auto"/>
          <w:sz w:val="30"/>
          <w:szCs w:val="30"/>
        </w:rPr>
        <w:t>扣款。</w:t>
      </w:r>
    </w:p>
    <w:p w14:paraId="7AC04689">
      <w:pPr>
        <w:keepNext w:val="0"/>
        <w:keepLines w:val="0"/>
        <w:pageBreakBefore w:val="0"/>
        <w:kinsoku/>
        <w:wordWrap/>
        <w:overflowPunct/>
        <w:topLinePunct w:val="0"/>
        <w:bidi w:val="0"/>
        <w:spacing w:line="480" w:lineRule="exact"/>
        <w:ind w:firstLine="300" w:firstLineChars="100"/>
        <w:textAlignment w:val="auto"/>
        <w:rPr>
          <w:rFonts w:ascii="仿宋" w:hAnsi="仿宋" w:eastAsia="仿宋"/>
          <w:color w:val="auto"/>
          <w:sz w:val="30"/>
          <w:szCs w:val="30"/>
        </w:rPr>
      </w:pPr>
      <w:r>
        <w:rPr>
          <w:rFonts w:hint="eastAsia" w:ascii="仿宋" w:hAnsi="仿宋" w:eastAsia="仿宋"/>
          <w:color w:val="auto"/>
          <w:sz w:val="30"/>
          <w:szCs w:val="30"/>
        </w:rPr>
        <w:t>（二十二）乙方在本合同履行期间及终止后，不得向甲方业主或任何第三方散布不利于甲方名誉的言论，一经甲方发现的，甲方有权单方解除本合同并有权要求乙方承担相应违约和赔偿责任。</w:t>
      </w:r>
    </w:p>
    <w:p w14:paraId="7C622D2C">
      <w:pPr>
        <w:keepNext w:val="0"/>
        <w:keepLines w:val="0"/>
        <w:pageBreakBefore w:val="0"/>
        <w:widowControl/>
        <w:tabs>
          <w:tab w:val="left" w:pos="851"/>
          <w:tab w:val="left" w:pos="1702"/>
        </w:tabs>
        <w:kinsoku/>
        <w:wordWrap/>
        <w:overflowPunct/>
        <w:topLinePunct w:val="0"/>
        <w:bidi w:val="0"/>
        <w:spacing w:before="156" w:line="480" w:lineRule="exact"/>
        <w:ind w:firstLine="602" w:firstLineChars="200"/>
        <w:jc w:val="left"/>
        <w:textAlignment w:val="auto"/>
        <w:outlineLvl w:val="0"/>
        <w:rPr>
          <w:rFonts w:ascii="仿宋" w:hAnsi="仿宋" w:eastAsia="仿宋"/>
          <w:color w:val="auto"/>
          <w:sz w:val="30"/>
          <w:szCs w:val="30"/>
        </w:rPr>
      </w:pPr>
      <w:r>
        <w:rPr>
          <w:rFonts w:hint="eastAsia" w:ascii="仿宋" w:hAnsi="仿宋" w:eastAsia="仿宋"/>
          <w:b/>
          <w:color w:val="auto"/>
          <w:sz w:val="30"/>
          <w:szCs w:val="30"/>
        </w:rPr>
        <w:t>第十条其它约定</w:t>
      </w:r>
    </w:p>
    <w:p w14:paraId="7F1801F7">
      <w:pPr>
        <w:keepNext w:val="0"/>
        <w:keepLines w:val="0"/>
        <w:pageBreakBefore w:val="0"/>
        <w:widowControl/>
        <w:kinsoku/>
        <w:wordWrap/>
        <w:overflowPunct/>
        <w:topLinePunct w:val="0"/>
        <w:bidi w:val="0"/>
        <w:snapToGrid w:val="0"/>
        <w:spacing w:line="480" w:lineRule="exact"/>
        <w:ind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甲乙双方均需遵守和执行国家、省、市有关建筑消防设施的法规和技术规范，定期共同向公安消防机构报告合同范围内消防设施的运行情况并接受其监督。</w:t>
      </w:r>
    </w:p>
    <w:p w14:paraId="780AFDAF">
      <w:pPr>
        <w:keepNext w:val="0"/>
        <w:keepLines w:val="0"/>
        <w:pageBreakBefore w:val="0"/>
        <w:widowControl/>
        <w:tabs>
          <w:tab w:val="left" w:pos="851"/>
          <w:tab w:val="left" w:pos="1702"/>
        </w:tabs>
        <w:kinsoku/>
        <w:wordWrap/>
        <w:overflowPunct/>
        <w:topLinePunct w:val="0"/>
        <w:bidi w:val="0"/>
        <w:spacing w:before="156" w:line="480" w:lineRule="exact"/>
        <w:ind w:firstLine="602" w:firstLineChars="200"/>
        <w:jc w:val="left"/>
        <w:textAlignment w:val="auto"/>
        <w:outlineLvl w:val="0"/>
        <w:rPr>
          <w:rFonts w:ascii="仿宋" w:hAnsi="仿宋" w:eastAsia="仿宋"/>
          <w:color w:val="auto"/>
          <w:sz w:val="30"/>
          <w:szCs w:val="30"/>
        </w:rPr>
      </w:pPr>
      <w:r>
        <w:rPr>
          <w:rFonts w:hint="eastAsia" w:ascii="仿宋" w:hAnsi="仿宋" w:eastAsia="仿宋"/>
          <w:b/>
          <w:color w:val="auto"/>
          <w:sz w:val="30"/>
          <w:szCs w:val="30"/>
        </w:rPr>
        <w:t>第十一条违约责任</w:t>
      </w:r>
    </w:p>
    <w:p w14:paraId="68A45704">
      <w:pPr>
        <w:keepNext w:val="0"/>
        <w:keepLines w:val="0"/>
        <w:pageBreakBefore w:val="0"/>
        <w:widowControl/>
        <w:kinsoku/>
        <w:wordWrap/>
        <w:overflowPunct/>
        <w:topLinePunct w:val="0"/>
        <w:bidi w:val="0"/>
        <w:adjustRightInd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（一）</w:t>
      </w:r>
      <w:r>
        <w:rPr>
          <w:rFonts w:ascii="仿宋" w:hAnsi="仿宋" w:eastAsia="仿宋"/>
          <w:color w:val="auto"/>
          <w:kern w:val="0"/>
          <w:sz w:val="30"/>
          <w:szCs w:val="30"/>
        </w:rPr>
        <w:t>除本合同另有约定外，</w:t>
      </w:r>
      <w:r>
        <w:rPr>
          <w:rFonts w:hint="eastAsia" w:ascii="仿宋" w:hAnsi="仿宋" w:eastAsia="仿宋"/>
          <w:color w:val="auto"/>
          <w:kern w:val="0"/>
          <w:sz w:val="30"/>
          <w:szCs w:val="30"/>
        </w:rPr>
        <w:t>乙</w:t>
      </w:r>
      <w:r>
        <w:rPr>
          <w:rFonts w:ascii="仿宋" w:hAnsi="仿宋" w:eastAsia="仿宋"/>
          <w:color w:val="auto"/>
          <w:kern w:val="0"/>
          <w:sz w:val="30"/>
          <w:szCs w:val="30"/>
        </w:rPr>
        <w:t>方不得无故终止合同，如有违约，则</w:t>
      </w:r>
      <w:r>
        <w:rPr>
          <w:rFonts w:hint="eastAsia" w:ascii="仿宋" w:hAnsi="仿宋" w:eastAsia="仿宋"/>
          <w:color w:val="auto"/>
          <w:kern w:val="0"/>
          <w:sz w:val="30"/>
          <w:szCs w:val="30"/>
        </w:rPr>
        <w:t>应</w:t>
      </w:r>
      <w:r>
        <w:rPr>
          <w:rFonts w:ascii="仿宋" w:hAnsi="仿宋" w:eastAsia="仿宋"/>
          <w:color w:val="auto"/>
          <w:kern w:val="0"/>
          <w:sz w:val="30"/>
          <w:szCs w:val="30"/>
        </w:rPr>
        <w:t>按合同总</w:t>
      </w:r>
      <w:r>
        <w:rPr>
          <w:rFonts w:hint="eastAsia" w:ascii="仿宋" w:hAnsi="仿宋" w:eastAsia="仿宋"/>
          <w:color w:val="auto"/>
          <w:kern w:val="0"/>
          <w:sz w:val="30"/>
          <w:szCs w:val="30"/>
        </w:rPr>
        <w:t>价</w:t>
      </w:r>
      <w:r>
        <w:rPr>
          <w:rFonts w:ascii="仿宋" w:hAnsi="仿宋" w:eastAsia="仿宋"/>
          <w:color w:val="auto"/>
          <w:kern w:val="0"/>
          <w:sz w:val="30"/>
          <w:szCs w:val="30"/>
        </w:rPr>
        <w:t>的</w:t>
      </w:r>
      <w:r>
        <w:rPr>
          <w:rFonts w:hint="eastAsia" w:ascii="仿宋" w:hAnsi="仿宋" w:eastAsia="仿宋"/>
          <w:color w:val="auto"/>
          <w:kern w:val="0"/>
          <w:sz w:val="30"/>
          <w:szCs w:val="30"/>
          <w:u w:val="single"/>
        </w:rPr>
        <w:t>10</w:t>
      </w:r>
      <w:r>
        <w:rPr>
          <w:rFonts w:ascii="仿宋" w:hAnsi="仿宋" w:eastAsia="仿宋"/>
          <w:color w:val="auto"/>
          <w:kern w:val="0"/>
          <w:sz w:val="30"/>
          <w:szCs w:val="30"/>
          <w:u w:val="single"/>
        </w:rPr>
        <w:t xml:space="preserve">% </w:t>
      </w:r>
      <w:r>
        <w:rPr>
          <w:rFonts w:ascii="仿宋" w:hAnsi="仿宋" w:eastAsia="仿宋"/>
          <w:color w:val="auto"/>
          <w:kern w:val="0"/>
          <w:sz w:val="30"/>
          <w:szCs w:val="30"/>
        </w:rPr>
        <w:t>向</w:t>
      </w:r>
      <w:r>
        <w:rPr>
          <w:rFonts w:hint="eastAsia" w:ascii="仿宋" w:hAnsi="仿宋" w:eastAsia="仿宋"/>
          <w:color w:val="auto"/>
          <w:kern w:val="0"/>
          <w:sz w:val="30"/>
          <w:szCs w:val="30"/>
        </w:rPr>
        <w:t>甲</w:t>
      </w:r>
      <w:r>
        <w:rPr>
          <w:rFonts w:ascii="仿宋" w:hAnsi="仿宋" w:eastAsia="仿宋"/>
          <w:color w:val="auto"/>
          <w:kern w:val="0"/>
          <w:sz w:val="30"/>
          <w:szCs w:val="30"/>
        </w:rPr>
        <w:t>方支付违约金，造成损失的另行赔付。</w:t>
      </w:r>
    </w:p>
    <w:p w14:paraId="23E3B1BB">
      <w:pPr>
        <w:keepNext w:val="0"/>
        <w:keepLines w:val="0"/>
        <w:pageBreakBefore w:val="0"/>
        <w:tabs>
          <w:tab w:val="left" w:pos="1080"/>
        </w:tabs>
        <w:kinsoku/>
        <w:wordWrap/>
        <w:overflowPunct/>
        <w:topLinePunct w:val="0"/>
        <w:bidi w:val="0"/>
        <w:adjustRightInd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（二）</w:t>
      </w:r>
      <w:r>
        <w:rPr>
          <w:rFonts w:ascii="仿宋" w:hAnsi="仿宋" w:eastAsia="仿宋"/>
          <w:color w:val="auto"/>
          <w:sz w:val="30"/>
          <w:szCs w:val="30"/>
        </w:rPr>
        <w:t>在甲方书面或电话故障报修后，如乙方未在</w:t>
      </w:r>
      <w:r>
        <w:rPr>
          <w:rFonts w:hint="eastAsia" w:ascii="仿宋" w:hAnsi="仿宋" w:eastAsia="仿宋"/>
          <w:color w:val="auto"/>
          <w:sz w:val="30"/>
          <w:szCs w:val="30"/>
        </w:rPr>
        <w:t>本合同</w:t>
      </w:r>
      <w:r>
        <w:rPr>
          <w:rFonts w:ascii="仿宋" w:hAnsi="仿宋" w:eastAsia="仿宋"/>
          <w:color w:val="auto"/>
          <w:sz w:val="30"/>
          <w:szCs w:val="30"/>
        </w:rPr>
        <w:t>约定时间内到达现场维修的，按</w:t>
      </w:r>
      <w:r>
        <w:rPr>
          <w:rFonts w:hint="eastAsia" w:ascii="仿宋" w:hAnsi="仿宋" w:eastAsia="仿宋"/>
          <w:color w:val="auto"/>
          <w:sz w:val="30"/>
          <w:szCs w:val="30"/>
          <w:u w:val="single"/>
        </w:rPr>
        <w:t xml:space="preserve"> 100 </w:t>
      </w:r>
      <w:r>
        <w:rPr>
          <w:rFonts w:ascii="仿宋" w:hAnsi="仿宋" w:eastAsia="仿宋"/>
          <w:color w:val="auto"/>
          <w:sz w:val="30"/>
          <w:szCs w:val="30"/>
        </w:rPr>
        <w:t>元/次向甲方支付违约金，并赔偿因此造成的一切损失及承担全部责任。</w:t>
      </w:r>
    </w:p>
    <w:p w14:paraId="0AABD099">
      <w:pPr>
        <w:keepNext w:val="0"/>
        <w:keepLines w:val="0"/>
        <w:pageBreakBefore w:val="0"/>
        <w:tabs>
          <w:tab w:val="left" w:pos="1080"/>
        </w:tabs>
        <w:kinsoku/>
        <w:wordWrap/>
        <w:overflowPunct/>
        <w:topLinePunct w:val="0"/>
        <w:bidi w:val="0"/>
        <w:adjustRightInd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（三）</w:t>
      </w:r>
      <w:r>
        <w:rPr>
          <w:rFonts w:ascii="仿宋" w:hAnsi="仿宋" w:eastAsia="仿宋"/>
          <w:color w:val="auto"/>
          <w:sz w:val="30"/>
          <w:szCs w:val="30"/>
        </w:rPr>
        <w:t>乙方未按国家、省、市标准</w:t>
      </w:r>
      <w:r>
        <w:rPr>
          <w:rFonts w:hint="eastAsia" w:ascii="仿宋" w:hAnsi="仿宋" w:eastAsia="仿宋"/>
          <w:color w:val="auto"/>
          <w:sz w:val="30"/>
          <w:szCs w:val="30"/>
        </w:rPr>
        <w:t>（存在多种标准时，以维保标准高者为准）</w:t>
      </w:r>
      <w:r>
        <w:rPr>
          <w:rFonts w:ascii="仿宋" w:hAnsi="仿宋" w:eastAsia="仿宋"/>
          <w:color w:val="auto"/>
          <w:sz w:val="30"/>
          <w:szCs w:val="30"/>
        </w:rPr>
        <w:t>及本合同约定的维护频次、时间、维护标准执行的，均视为违约。甲方可视违约情况对乙方提出警告、限期整改或者乙方按</w:t>
      </w:r>
      <w:r>
        <w:rPr>
          <w:rFonts w:hint="eastAsia" w:ascii="仿宋" w:hAnsi="仿宋" w:eastAsia="仿宋"/>
          <w:color w:val="auto"/>
          <w:sz w:val="30"/>
          <w:szCs w:val="30"/>
          <w:u w:val="single"/>
        </w:rPr>
        <w:t xml:space="preserve"> 300 </w:t>
      </w:r>
      <w:r>
        <w:rPr>
          <w:rFonts w:ascii="仿宋" w:hAnsi="仿宋" w:eastAsia="仿宋"/>
          <w:color w:val="auto"/>
          <w:sz w:val="30"/>
          <w:szCs w:val="30"/>
        </w:rPr>
        <w:t>元至合同总价</w:t>
      </w:r>
      <w:r>
        <w:rPr>
          <w:rFonts w:hint="eastAsia" w:ascii="仿宋" w:hAnsi="仿宋" w:eastAsia="仿宋"/>
          <w:color w:val="auto"/>
          <w:sz w:val="30"/>
          <w:szCs w:val="30"/>
          <w:u w:val="single"/>
        </w:rPr>
        <w:t>1</w:t>
      </w:r>
      <w:r>
        <w:rPr>
          <w:rFonts w:ascii="仿宋" w:hAnsi="仿宋" w:eastAsia="仿宋"/>
          <w:color w:val="auto"/>
          <w:sz w:val="30"/>
          <w:szCs w:val="30"/>
          <w:u w:val="single"/>
        </w:rPr>
        <w:t>0%/</w:t>
      </w:r>
      <w:r>
        <w:rPr>
          <w:rFonts w:hint="eastAsia" w:ascii="仿宋" w:hAnsi="仿宋" w:eastAsia="仿宋"/>
          <w:color w:val="auto"/>
          <w:sz w:val="30"/>
          <w:szCs w:val="30"/>
          <w:u w:val="single"/>
        </w:rPr>
        <w:t>次</w:t>
      </w:r>
      <w:r>
        <w:rPr>
          <w:rFonts w:ascii="仿宋" w:hAnsi="仿宋" w:eastAsia="仿宋"/>
          <w:color w:val="auto"/>
          <w:sz w:val="30"/>
          <w:szCs w:val="30"/>
        </w:rPr>
        <w:t>向甲方支付违约金，如因此发生消防安全事故的，由乙方承担赔偿责任，并按合同总价</w:t>
      </w:r>
      <w:r>
        <w:rPr>
          <w:rFonts w:hint="eastAsia" w:ascii="仿宋" w:hAnsi="仿宋" w:eastAsia="仿宋"/>
          <w:color w:val="auto"/>
          <w:sz w:val="30"/>
          <w:szCs w:val="30"/>
          <w:u w:val="single"/>
        </w:rPr>
        <w:t>1</w:t>
      </w:r>
      <w:r>
        <w:rPr>
          <w:rFonts w:ascii="仿宋" w:hAnsi="仿宋" w:eastAsia="仿宋"/>
          <w:color w:val="auto"/>
          <w:sz w:val="30"/>
          <w:szCs w:val="30"/>
          <w:u w:val="single"/>
        </w:rPr>
        <w:t>0%</w:t>
      </w:r>
      <w:r>
        <w:rPr>
          <w:rFonts w:ascii="仿宋" w:hAnsi="仿宋" w:eastAsia="仿宋"/>
          <w:color w:val="auto"/>
          <w:sz w:val="30"/>
          <w:szCs w:val="30"/>
        </w:rPr>
        <w:t>的标准向甲方支付违约金，甲方可单方解除本合同。</w:t>
      </w:r>
    </w:p>
    <w:p w14:paraId="72361070">
      <w:pPr>
        <w:keepNext w:val="0"/>
        <w:keepLines w:val="0"/>
        <w:pageBreakBefore w:val="0"/>
        <w:kinsoku/>
        <w:wordWrap/>
        <w:overflowPunct/>
        <w:topLinePunct w:val="0"/>
        <w:bidi w:val="0"/>
        <w:adjustRightInd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（四）</w:t>
      </w:r>
      <w:r>
        <w:rPr>
          <w:rFonts w:ascii="仿宋" w:hAnsi="仿宋" w:eastAsia="仿宋"/>
          <w:color w:val="auto"/>
          <w:sz w:val="30"/>
          <w:szCs w:val="30"/>
        </w:rPr>
        <w:t>乙方维保工作符合标准和要求的前提下，甲方须按时支付维保费用，否则乙方可向甲方发出书面催款通知，要求限期在十个工作日内支付；若甲方在该限期内仍拒绝付款，乙方有权按当次应付费用的</w:t>
      </w:r>
      <w:r>
        <w:rPr>
          <w:rFonts w:hint="eastAsia" w:ascii="仿宋" w:hAnsi="仿宋" w:eastAsia="仿宋"/>
          <w:color w:val="auto"/>
          <w:sz w:val="30"/>
          <w:szCs w:val="30"/>
          <w:u w:val="single"/>
        </w:rPr>
        <w:t>万分之一</w:t>
      </w:r>
      <w:r>
        <w:rPr>
          <w:rFonts w:ascii="仿宋" w:hAnsi="仿宋" w:eastAsia="仿宋"/>
          <w:color w:val="auto"/>
          <w:sz w:val="30"/>
          <w:szCs w:val="30"/>
        </w:rPr>
        <w:t>要求甲方支付违约金。</w:t>
      </w:r>
    </w:p>
    <w:p w14:paraId="5B7D3B51">
      <w:pPr>
        <w:keepNext w:val="0"/>
        <w:keepLines w:val="0"/>
        <w:pageBreakBefore w:val="0"/>
        <w:widowControl/>
        <w:kinsoku/>
        <w:wordWrap/>
        <w:overflowPunct/>
        <w:topLinePunct w:val="0"/>
        <w:bidi w:val="0"/>
        <w:snapToGrid w:val="0"/>
        <w:spacing w:line="480" w:lineRule="exact"/>
        <w:ind w:firstLine="450" w:firstLineChars="150"/>
        <w:textAlignment w:val="auto"/>
        <w:rPr>
          <w:rFonts w:ascii="仿宋" w:hAnsi="仿宋" w:eastAsia="仿宋"/>
          <w:color w:val="auto"/>
          <w:kern w:val="0"/>
          <w:sz w:val="30"/>
          <w:szCs w:val="30"/>
        </w:rPr>
      </w:pPr>
      <w:r>
        <w:rPr>
          <w:rFonts w:hint="eastAsia" w:ascii="仿宋" w:hAnsi="仿宋" w:eastAsia="仿宋"/>
          <w:color w:val="auto"/>
          <w:kern w:val="0"/>
          <w:sz w:val="30"/>
          <w:szCs w:val="30"/>
        </w:rPr>
        <w:t>（五）在消防主管部门检查时，如乙方维保原因出现消防系统存在故障或安全隐患导致相关整改费用、罚款的或检查不合格的，乙方除承担前述费用及罚款外，并按合同总价</w:t>
      </w:r>
      <w:r>
        <w:rPr>
          <w:rFonts w:hint="eastAsia" w:ascii="仿宋" w:hAnsi="仿宋" w:eastAsia="仿宋"/>
          <w:color w:val="auto"/>
          <w:kern w:val="0"/>
          <w:sz w:val="30"/>
          <w:szCs w:val="30"/>
          <w:u w:val="single"/>
        </w:rPr>
        <w:t xml:space="preserve">10% </w:t>
      </w:r>
      <w:r>
        <w:rPr>
          <w:rFonts w:hint="eastAsia" w:ascii="仿宋" w:hAnsi="仿宋" w:eastAsia="仿宋"/>
          <w:color w:val="auto"/>
          <w:kern w:val="0"/>
          <w:sz w:val="30"/>
          <w:szCs w:val="30"/>
        </w:rPr>
        <w:t>的标准向甲方支付违约金，甲方可单方解除本合同。</w:t>
      </w:r>
    </w:p>
    <w:p w14:paraId="6A576FBD">
      <w:pPr>
        <w:keepNext w:val="0"/>
        <w:keepLines w:val="0"/>
        <w:pageBreakBefore w:val="0"/>
        <w:tabs>
          <w:tab w:val="left" w:pos="993"/>
        </w:tabs>
        <w:kinsoku/>
        <w:wordWrap/>
        <w:overflowPunct/>
        <w:topLinePunct w:val="0"/>
        <w:bidi w:val="0"/>
        <w:adjustRightInd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（六）</w:t>
      </w:r>
      <w:r>
        <w:rPr>
          <w:rFonts w:ascii="仿宋" w:hAnsi="仿宋" w:eastAsia="仿宋"/>
          <w:color w:val="auto"/>
          <w:sz w:val="30"/>
          <w:szCs w:val="30"/>
        </w:rPr>
        <w:t>若因乙方原因导致本合同无效或提前终止</w:t>
      </w:r>
      <w:r>
        <w:rPr>
          <w:rFonts w:hint="eastAsia" w:ascii="仿宋" w:hAnsi="仿宋" w:eastAsia="仿宋"/>
          <w:color w:val="auto"/>
          <w:sz w:val="30"/>
          <w:szCs w:val="30"/>
        </w:rPr>
        <w:t>的</w:t>
      </w:r>
      <w:r>
        <w:rPr>
          <w:rFonts w:ascii="仿宋" w:hAnsi="仿宋" w:eastAsia="仿宋"/>
          <w:color w:val="auto"/>
          <w:sz w:val="30"/>
          <w:szCs w:val="30"/>
        </w:rPr>
        <w:t>，乙方除按照相关约定承担违约责任外，乙方须承担合同总价款</w:t>
      </w:r>
      <w:r>
        <w:rPr>
          <w:rFonts w:hint="eastAsia" w:ascii="仿宋" w:hAnsi="仿宋" w:eastAsia="仿宋"/>
          <w:color w:val="auto"/>
          <w:sz w:val="30"/>
          <w:szCs w:val="30"/>
          <w:u w:val="single"/>
        </w:rPr>
        <w:t>1</w:t>
      </w:r>
      <w:r>
        <w:rPr>
          <w:rFonts w:ascii="仿宋" w:hAnsi="仿宋" w:eastAsia="仿宋"/>
          <w:color w:val="auto"/>
          <w:sz w:val="30"/>
          <w:szCs w:val="30"/>
          <w:u w:val="single"/>
        </w:rPr>
        <w:t xml:space="preserve">0% </w:t>
      </w:r>
      <w:r>
        <w:rPr>
          <w:rFonts w:ascii="仿宋" w:hAnsi="仿宋" w:eastAsia="仿宋"/>
          <w:color w:val="auto"/>
          <w:sz w:val="30"/>
          <w:szCs w:val="30"/>
        </w:rPr>
        <w:t>的违约金，对因此给甲方造成的损失，乙方仍应承担赔偿责任。</w:t>
      </w:r>
    </w:p>
    <w:p w14:paraId="69FC4823">
      <w:pPr>
        <w:keepNext w:val="0"/>
        <w:keepLines w:val="0"/>
        <w:pageBreakBefore w:val="0"/>
        <w:widowControl/>
        <w:kinsoku/>
        <w:wordWrap/>
        <w:overflowPunct/>
        <w:topLinePunct w:val="0"/>
        <w:bidi w:val="0"/>
        <w:snapToGrid w:val="0"/>
        <w:spacing w:line="480" w:lineRule="exact"/>
        <w:ind w:firstLine="450" w:firstLineChars="150"/>
        <w:textAlignment w:val="auto"/>
        <w:outlineLvl w:val="2"/>
        <w:rPr>
          <w:rFonts w:ascii="仿宋" w:hAnsi="仿宋" w:eastAsia="仿宋"/>
          <w:color w:val="auto"/>
          <w:kern w:val="0"/>
          <w:sz w:val="30"/>
          <w:szCs w:val="30"/>
        </w:rPr>
      </w:pPr>
      <w:r>
        <w:rPr>
          <w:rFonts w:hint="eastAsia" w:ascii="仿宋" w:hAnsi="仿宋" w:eastAsia="仿宋"/>
          <w:color w:val="auto"/>
          <w:kern w:val="0"/>
          <w:sz w:val="30"/>
          <w:szCs w:val="30"/>
        </w:rPr>
        <w:t>（七）</w:t>
      </w:r>
      <w:r>
        <w:rPr>
          <w:rFonts w:ascii="仿宋" w:hAnsi="仿宋" w:eastAsia="仿宋"/>
          <w:color w:val="auto"/>
          <w:kern w:val="0"/>
          <w:sz w:val="30"/>
          <w:szCs w:val="30"/>
        </w:rPr>
        <w:t>其他违约责任详见本合同</w:t>
      </w:r>
      <w:r>
        <w:rPr>
          <w:rFonts w:hint="eastAsia" w:ascii="仿宋" w:hAnsi="仿宋" w:eastAsia="仿宋"/>
          <w:color w:val="auto"/>
          <w:kern w:val="0"/>
          <w:sz w:val="30"/>
          <w:szCs w:val="30"/>
        </w:rPr>
        <w:t>附件三，未造成人身、财产损失的，按照附件三扣罚；造成人身、财产损失的，除扣罚之外，按照法律规定及本合同约定，由乙方承担责任。</w:t>
      </w:r>
    </w:p>
    <w:p w14:paraId="041EC297">
      <w:pPr>
        <w:keepNext w:val="0"/>
        <w:keepLines w:val="0"/>
        <w:pageBreakBefore w:val="0"/>
        <w:widowControl/>
        <w:kinsoku/>
        <w:wordWrap/>
        <w:overflowPunct/>
        <w:topLinePunct w:val="0"/>
        <w:bidi w:val="0"/>
        <w:snapToGrid w:val="0"/>
        <w:spacing w:line="480" w:lineRule="exact"/>
        <w:ind w:firstLine="600" w:firstLineChars="200"/>
        <w:textAlignment w:val="auto"/>
        <w:outlineLvl w:val="2"/>
        <w:rPr>
          <w:rFonts w:ascii="仿宋" w:hAnsi="仿宋" w:eastAsia="仿宋"/>
          <w:color w:val="auto"/>
          <w:kern w:val="0"/>
          <w:sz w:val="30"/>
          <w:szCs w:val="30"/>
        </w:rPr>
      </w:pPr>
      <w:r>
        <w:rPr>
          <w:rFonts w:hint="eastAsia" w:ascii="仿宋" w:hAnsi="仿宋" w:eastAsia="仿宋"/>
          <w:color w:val="auto"/>
          <w:kern w:val="0"/>
          <w:sz w:val="30"/>
          <w:szCs w:val="30"/>
        </w:rPr>
        <w:t>（八）乙方</w:t>
      </w:r>
      <w:r>
        <w:rPr>
          <w:rFonts w:ascii="仿宋" w:hAnsi="仿宋" w:eastAsia="仿宋"/>
          <w:color w:val="auto"/>
          <w:kern w:val="0"/>
          <w:sz w:val="30"/>
          <w:szCs w:val="30"/>
        </w:rPr>
        <w:t>违反本</w:t>
      </w:r>
      <w:r>
        <w:rPr>
          <w:rFonts w:hint="eastAsia" w:ascii="仿宋" w:hAnsi="仿宋" w:eastAsia="仿宋"/>
          <w:color w:val="auto"/>
          <w:kern w:val="0"/>
          <w:sz w:val="30"/>
          <w:szCs w:val="30"/>
        </w:rPr>
        <w:t>合同</w:t>
      </w:r>
      <w:r>
        <w:rPr>
          <w:rFonts w:ascii="仿宋" w:hAnsi="仿宋" w:eastAsia="仿宋"/>
          <w:color w:val="auto"/>
          <w:kern w:val="0"/>
          <w:sz w:val="30"/>
          <w:szCs w:val="30"/>
        </w:rPr>
        <w:t>的任何条款而</w:t>
      </w:r>
      <w:r>
        <w:rPr>
          <w:rFonts w:hint="eastAsia" w:ascii="仿宋" w:hAnsi="仿宋" w:eastAsia="仿宋"/>
          <w:color w:val="auto"/>
          <w:kern w:val="0"/>
          <w:sz w:val="30"/>
          <w:szCs w:val="30"/>
        </w:rPr>
        <w:t>致</w:t>
      </w:r>
      <w:r>
        <w:rPr>
          <w:rFonts w:ascii="仿宋" w:hAnsi="仿宋" w:eastAsia="仿宋"/>
          <w:color w:val="auto"/>
          <w:kern w:val="0"/>
          <w:sz w:val="30"/>
          <w:szCs w:val="30"/>
        </w:rPr>
        <w:t>使</w:t>
      </w:r>
      <w:r>
        <w:rPr>
          <w:rFonts w:hint="eastAsia" w:ascii="仿宋" w:hAnsi="仿宋" w:eastAsia="仿宋"/>
          <w:color w:val="auto"/>
          <w:kern w:val="0"/>
          <w:sz w:val="30"/>
          <w:szCs w:val="30"/>
        </w:rPr>
        <w:t>甲方</w:t>
      </w:r>
      <w:r>
        <w:rPr>
          <w:rFonts w:ascii="仿宋" w:hAnsi="仿宋" w:eastAsia="仿宋"/>
          <w:color w:val="auto"/>
          <w:kern w:val="0"/>
          <w:sz w:val="30"/>
          <w:szCs w:val="30"/>
        </w:rPr>
        <w:t>产生或遭受的任何及所有权利请求、诉讼、损害、损失和费用</w:t>
      </w:r>
      <w:r>
        <w:rPr>
          <w:rFonts w:hint="eastAsia" w:ascii="仿宋" w:hAnsi="仿宋" w:eastAsia="仿宋"/>
          <w:color w:val="auto"/>
          <w:kern w:val="0"/>
          <w:sz w:val="30"/>
          <w:szCs w:val="30"/>
        </w:rPr>
        <w:t>（</w:t>
      </w:r>
      <w:r>
        <w:rPr>
          <w:rFonts w:ascii="仿宋" w:hAnsi="仿宋" w:eastAsia="仿宋"/>
          <w:color w:val="auto"/>
          <w:kern w:val="0"/>
          <w:sz w:val="30"/>
          <w:szCs w:val="30"/>
        </w:rPr>
        <w:t>包括但不限于法律费用和支出</w:t>
      </w:r>
      <w:r>
        <w:rPr>
          <w:rFonts w:hint="eastAsia" w:ascii="仿宋" w:hAnsi="仿宋" w:eastAsia="仿宋"/>
          <w:color w:val="auto"/>
          <w:kern w:val="0"/>
          <w:sz w:val="30"/>
          <w:szCs w:val="30"/>
        </w:rPr>
        <w:t>，如律师费、保全费、诉讼财产保全担保责任保险费、公证费、鉴定费、差旅费等，</w:t>
      </w:r>
      <w:r>
        <w:rPr>
          <w:rFonts w:ascii="仿宋" w:hAnsi="仿宋" w:eastAsia="仿宋"/>
          <w:color w:val="auto"/>
          <w:kern w:val="0"/>
          <w:sz w:val="30"/>
          <w:szCs w:val="30"/>
        </w:rPr>
        <w:t>以及对任何权利请求进行调查的费用</w:t>
      </w:r>
      <w:r>
        <w:rPr>
          <w:rFonts w:hint="eastAsia" w:ascii="仿宋" w:hAnsi="仿宋" w:eastAsia="仿宋"/>
          <w:color w:val="auto"/>
          <w:kern w:val="0"/>
          <w:sz w:val="30"/>
          <w:szCs w:val="30"/>
        </w:rPr>
        <w:t>）</w:t>
      </w:r>
      <w:r>
        <w:rPr>
          <w:rFonts w:ascii="仿宋" w:hAnsi="仿宋" w:eastAsia="仿宋"/>
          <w:color w:val="auto"/>
          <w:kern w:val="0"/>
          <w:sz w:val="30"/>
          <w:szCs w:val="30"/>
        </w:rPr>
        <w:t>，</w:t>
      </w:r>
      <w:r>
        <w:rPr>
          <w:rFonts w:hint="eastAsia" w:ascii="仿宋" w:hAnsi="仿宋" w:eastAsia="仿宋"/>
          <w:color w:val="auto"/>
          <w:kern w:val="0"/>
          <w:sz w:val="30"/>
          <w:szCs w:val="30"/>
        </w:rPr>
        <w:t>乙</w:t>
      </w:r>
      <w:r>
        <w:rPr>
          <w:rFonts w:ascii="仿宋" w:hAnsi="仿宋" w:eastAsia="仿宋"/>
          <w:color w:val="auto"/>
          <w:kern w:val="0"/>
          <w:sz w:val="30"/>
          <w:szCs w:val="30"/>
        </w:rPr>
        <w:t>方同意对</w:t>
      </w:r>
      <w:r>
        <w:rPr>
          <w:rFonts w:hint="eastAsia" w:ascii="仿宋" w:hAnsi="仿宋" w:eastAsia="仿宋"/>
          <w:color w:val="auto"/>
          <w:kern w:val="0"/>
          <w:sz w:val="30"/>
          <w:szCs w:val="30"/>
        </w:rPr>
        <w:t>甲</w:t>
      </w:r>
      <w:r>
        <w:rPr>
          <w:rFonts w:ascii="仿宋" w:hAnsi="仿宋" w:eastAsia="仿宋"/>
          <w:color w:val="auto"/>
          <w:kern w:val="0"/>
          <w:sz w:val="30"/>
          <w:szCs w:val="30"/>
        </w:rPr>
        <w:t>方进行</w:t>
      </w:r>
      <w:r>
        <w:rPr>
          <w:rFonts w:hint="eastAsia" w:ascii="仿宋" w:hAnsi="仿宋" w:eastAsia="仿宋"/>
          <w:color w:val="auto"/>
          <w:kern w:val="0"/>
          <w:sz w:val="30"/>
          <w:szCs w:val="30"/>
        </w:rPr>
        <w:t>充分</w:t>
      </w:r>
      <w:r>
        <w:rPr>
          <w:rFonts w:ascii="仿宋" w:hAnsi="仿宋" w:eastAsia="仿宋"/>
          <w:color w:val="auto"/>
          <w:kern w:val="0"/>
          <w:sz w:val="30"/>
          <w:szCs w:val="30"/>
        </w:rPr>
        <w:t>补偿。该补偿并不影响</w:t>
      </w:r>
      <w:r>
        <w:rPr>
          <w:rFonts w:hint="eastAsia" w:ascii="仿宋" w:hAnsi="仿宋" w:eastAsia="仿宋"/>
          <w:color w:val="auto"/>
          <w:kern w:val="0"/>
          <w:sz w:val="30"/>
          <w:szCs w:val="30"/>
        </w:rPr>
        <w:t>甲</w:t>
      </w:r>
      <w:r>
        <w:rPr>
          <w:rFonts w:ascii="仿宋" w:hAnsi="仿宋" w:eastAsia="仿宋"/>
          <w:color w:val="auto"/>
          <w:kern w:val="0"/>
          <w:sz w:val="30"/>
          <w:szCs w:val="30"/>
        </w:rPr>
        <w:t>方就</w:t>
      </w:r>
      <w:r>
        <w:rPr>
          <w:rFonts w:hint="eastAsia" w:ascii="仿宋" w:hAnsi="仿宋" w:eastAsia="仿宋"/>
          <w:color w:val="auto"/>
          <w:kern w:val="0"/>
          <w:sz w:val="30"/>
          <w:szCs w:val="30"/>
        </w:rPr>
        <w:t>乙</w:t>
      </w:r>
      <w:r>
        <w:rPr>
          <w:rFonts w:ascii="仿宋" w:hAnsi="仿宋" w:eastAsia="仿宋"/>
          <w:color w:val="auto"/>
          <w:kern w:val="0"/>
          <w:sz w:val="30"/>
          <w:szCs w:val="30"/>
        </w:rPr>
        <w:t>方对本</w:t>
      </w:r>
      <w:r>
        <w:rPr>
          <w:rFonts w:hint="eastAsia" w:ascii="仿宋" w:hAnsi="仿宋" w:eastAsia="仿宋"/>
          <w:color w:val="auto"/>
          <w:kern w:val="0"/>
          <w:sz w:val="30"/>
          <w:szCs w:val="30"/>
        </w:rPr>
        <w:t>合同</w:t>
      </w:r>
      <w:r>
        <w:rPr>
          <w:rFonts w:ascii="仿宋" w:hAnsi="仿宋" w:eastAsia="仿宋"/>
          <w:color w:val="auto"/>
          <w:kern w:val="0"/>
          <w:sz w:val="30"/>
          <w:szCs w:val="30"/>
        </w:rPr>
        <w:t>任何条款</w:t>
      </w:r>
      <w:r>
        <w:rPr>
          <w:rFonts w:hint="eastAsia" w:ascii="仿宋" w:hAnsi="仿宋" w:eastAsia="仿宋"/>
          <w:color w:val="auto"/>
          <w:kern w:val="0"/>
          <w:sz w:val="30"/>
          <w:szCs w:val="30"/>
        </w:rPr>
        <w:t>或条件</w:t>
      </w:r>
      <w:r>
        <w:rPr>
          <w:rFonts w:ascii="仿宋" w:hAnsi="仿宋" w:eastAsia="仿宋"/>
          <w:color w:val="auto"/>
          <w:kern w:val="0"/>
          <w:sz w:val="30"/>
          <w:szCs w:val="30"/>
        </w:rPr>
        <w:t>的违反</w:t>
      </w:r>
      <w:r>
        <w:rPr>
          <w:rFonts w:hint="eastAsia" w:ascii="仿宋" w:hAnsi="仿宋" w:eastAsia="仿宋"/>
          <w:color w:val="auto"/>
          <w:kern w:val="0"/>
          <w:sz w:val="30"/>
          <w:szCs w:val="30"/>
        </w:rPr>
        <w:t>而</w:t>
      </w:r>
      <w:r>
        <w:rPr>
          <w:rFonts w:ascii="仿宋" w:hAnsi="仿宋" w:eastAsia="仿宋"/>
          <w:color w:val="auto"/>
          <w:kern w:val="0"/>
          <w:sz w:val="30"/>
          <w:szCs w:val="30"/>
        </w:rPr>
        <w:t>享有的其他权利和救济。</w:t>
      </w:r>
    </w:p>
    <w:p w14:paraId="081F75CF">
      <w:pPr>
        <w:keepNext w:val="0"/>
        <w:keepLines w:val="0"/>
        <w:pageBreakBefore w:val="0"/>
        <w:tabs>
          <w:tab w:val="left" w:pos="0"/>
          <w:tab w:val="left" w:pos="851"/>
          <w:tab w:val="left" w:pos="993"/>
        </w:tabs>
        <w:kinsoku/>
        <w:wordWrap/>
        <w:overflowPunct/>
        <w:topLinePunct w:val="0"/>
        <w:bidi w:val="0"/>
        <w:spacing w:line="480" w:lineRule="exact"/>
        <w:ind w:firstLine="600" w:firstLineChars="200"/>
        <w:textAlignment w:val="auto"/>
        <w:outlineLvl w:val="1"/>
        <w:rPr>
          <w:rFonts w:ascii="仿宋" w:hAnsi="仿宋" w:eastAsia="仿宋"/>
          <w:color w:val="auto"/>
          <w:sz w:val="30"/>
          <w:szCs w:val="30"/>
        </w:rPr>
      </w:pPr>
      <w:r>
        <w:rPr>
          <w:rFonts w:hint="eastAsia" w:ascii="仿宋" w:hAnsi="仿宋" w:eastAsia="仿宋"/>
          <w:color w:val="auto"/>
          <w:sz w:val="30"/>
          <w:szCs w:val="30"/>
        </w:rPr>
        <w:t>甲方</w:t>
      </w:r>
      <w:r>
        <w:rPr>
          <w:rFonts w:ascii="仿宋" w:hAnsi="仿宋" w:eastAsia="仿宋"/>
          <w:color w:val="auto"/>
          <w:sz w:val="30"/>
          <w:szCs w:val="30"/>
        </w:rPr>
        <w:t>就</w:t>
      </w:r>
      <w:r>
        <w:rPr>
          <w:rFonts w:hint="eastAsia" w:ascii="仿宋" w:hAnsi="仿宋" w:eastAsia="仿宋"/>
          <w:color w:val="auto"/>
          <w:sz w:val="30"/>
          <w:szCs w:val="30"/>
        </w:rPr>
        <w:t>乙</w:t>
      </w:r>
      <w:r>
        <w:rPr>
          <w:rFonts w:ascii="仿宋" w:hAnsi="仿宋" w:eastAsia="仿宋"/>
          <w:color w:val="auto"/>
          <w:sz w:val="30"/>
          <w:szCs w:val="30"/>
        </w:rPr>
        <w:t>方违反本</w:t>
      </w:r>
      <w:r>
        <w:rPr>
          <w:rFonts w:hint="eastAsia" w:ascii="仿宋" w:hAnsi="仿宋" w:eastAsia="仿宋"/>
          <w:color w:val="auto"/>
          <w:sz w:val="30"/>
          <w:szCs w:val="30"/>
        </w:rPr>
        <w:t>合同</w:t>
      </w:r>
      <w:r>
        <w:rPr>
          <w:rFonts w:ascii="仿宋" w:hAnsi="仿宋" w:eastAsia="仿宋"/>
          <w:color w:val="auto"/>
          <w:sz w:val="30"/>
          <w:szCs w:val="30"/>
        </w:rPr>
        <w:t>任何条款</w:t>
      </w:r>
      <w:r>
        <w:rPr>
          <w:rFonts w:hint="eastAsia" w:ascii="仿宋" w:hAnsi="仿宋" w:eastAsia="仿宋"/>
          <w:color w:val="auto"/>
          <w:sz w:val="30"/>
          <w:szCs w:val="30"/>
        </w:rPr>
        <w:t>或条件</w:t>
      </w:r>
      <w:r>
        <w:rPr>
          <w:rFonts w:ascii="仿宋" w:hAnsi="仿宋" w:eastAsia="仿宋"/>
          <w:color w:val="auto"/>
          <w:sz w:val="30"/>
          <w:szCs w:val="30"/>
        </w:rPr>
        <w:t>而享有的权利和救济应在本</w:t>
      </w:r>
      <w:r>
        <w:rPr>
          <w:rFonts w:hint="eastAsia" w:ascii="仿宋" w:hAnsi="仿宋" w:eastAsia="仿宋"/>
          <w:color w:val="auto"/>
          <w:sz w:val="30"/>
          <w:szCs w:val="30"/>
        </w:rPr>
        <w:t>合同无效</w:t>
      </w:r>
      <w:r>
        <w:rPr>
          <w:rFonts w:ascii="仿宋" w:hAnsi="仿宋" w:eastAsia="仿宋"/>
          <w:color w:val="auto"/>
          <w:sz w:val="30"/>
          <w:szCs w:val="30"/>
        </w:rPr>
        <w:t>、</w:t>
      </w:r>
      <w:r>
        <w:rPr>
          <w:rFonts w:hint="eastAsia" w:ascii="仿宋" w:hAnsi="仿宋" w:eastAsia="仿宋"/>
          <w:color w:val="auto"/>
          <w:sz w:val="30"/>
          <w:szCs w:val="30"/>
        </w:rPr>
        <w:t>解除</w:t>
      </w:r>
      <w:r>
        <w:rPr>
          <w:rFonts w:ascii="仿宋" w:hAnsi="仿宋" w:eastAsia="仿宋"/>
          <w:color w:val="auto"/>
          <w:sz w:val="30"/>
          <w:szCs w:val="30"/>
        </w:rPr>
        <w:t>或</w:t>
      </w:r>
      <w:r>
        <w:rPr>
          <w:rFonts w:hint="eastAsia" w:ascii="仿宋" w:hAnsi="仿宋" w:eastAsia="仿宋"/>
          <w:color w:val="auto"/>
          <w:sz w:val="30"/>
          <w:szCs w:val="30"/>
        </w:rPr>
        <w:t>终止情况发生时仍然</w:t>
      </w:r>
      <w:r>
        <w:rPr>
          <w:rFonts w:ascii="仿宋" w:hAnsi="仿宋" w:eastAsia="仿宋"/>
          <w:color w:val="auto"/>
          <w:sz w:val="30"/>
          <w:szCs w:val="30"/>
        </w:rPr>
        <w:t>有效。</w:t>
      </w:r>
    </w:p>
    <w:p w14:paraId="6A7CA979">
      <w:pPr>
        <w:keepNext w:val="0"/>
        <w:keepLines w:val="0"/>
        <w:pageBreakBefore w:val="0"/>
        <w:tabs>
          <w:tab w:val="left" w:pos="0"/>
          <w:tab w:val="left" w:pos="851"/>
          <w:tab w:val="left" w:pos="993"/>
        </w:tabs>
        <w:kinsoku/>
        <w:wordWrap/>
        <w:overflowPunct/>
        <w:topLinePunct w:val="0"/>
        <w:bidi w:val="0"/>
        <w:spacing w:line="480" w:lineRule="exact"/>
        <w:ind w:firstLine="600" w:firstLineChars="200"/>
        <w:textAlignment w:val="auto"/>
        <w:outlineLvl w:val="1"/>
        <w:rPr>
          <w:rFonts w:ascii="仿宋" w:hAnsi="仿宋" w:eastAsia="仿宋"/>
          <w:color w:val="auto"/>
          <w:sz w:val="30"/>
          <w:szCs w:val="30"/>
        </w:rPr>
      </w:pPr>
      <w:r>
        <w:rPr>
          <w:rFonts w:hint="eastAsia" w:ascii="仿宋" w:hAnsi="仿宋" w:eastAsia="仿宋"/>
          <w:color w:val="auto"/>
          <w:sz w:val="30"/>
          <w:szCs w:val="30"/>
        </w:rPr>
        <w:t>（九）如合同及附件就乙方同一违约事项约定的违约责任不一致的，不一致部分以甲方明确主张为准。</w:t>
      </w:r>
    </w:p>
    <w:p w14:paraId="6F186B6A">
      <w:pPr>
        <w:keepNext w:val="0"/>
        <w:keepLines w:val="0"/>
        <w:pageBreakBefore w:val="0"/>
        <w:widowControl/>
        <w:tabs>
          <w:tab w:val="left" w:pos="851"/>
          <w:tab w:val="left" w:pos="1702"/>
        </w:tabs>
        <w:kinsoku/>
        <w:wordWrap/>
        <w:overflowPunct/>
        <w:topLinePunct w:val="0"/>
        <w:bidi w:val="0"/>
        <w:spacing w:before="156" w:line="480" w:lineRule="exact"/>
        <w:ind w:firstLine="602" w:firstLineChars="200"/>
        <w:jc w:val="left"/>
        <w:textAlignment w:val="auto"/>
        <w:outlineLvl w:val="0"/>
        <w:rPr>
          <w:rFonts w:ascii="仿宋" w:hAnsi="仿宋" w:eastAsia="仿宋"/>
          <w:color w:val="auto"/>
          <w:sz w:val="30"/>
          <w:szCs w:val="30"/>
        </w:rPr>
      </w:pPr>
      <w:r>
        <w:rPr>
          <w:rFonts w:hint="eastAsia" w:ascii="仿宋" w:hAnsi="仿宋" w:eastAsia="仿宋"/>
          <w:b/>
          <w:color w:val="auto"/>
          <w:sz w:val="30"/>
          <w:szCs w:val="30"/>
        </w:rPr>
        <w:t>第十二条</w:t>
      </w:r>
      <w:r>
        <w:rPr>
          <w:rFonts w:ascii="仿宋" w:hAnsi="仿宋" w:eastAsia="仿宋"/>
          <w:b/>
          <w:color w:val="auto"/>
          <w:sz w:val="30"/>
          <w:szCs w:val="30"/>
        </w:rPr>
        <w:t xml:space="preserve"> 合同的终止与解除</w:t>
      </w:r>
    </w:p>
    <w:p w14:paraId="338DEA58">
      <w:pPr>
        <w:keepNext w:val="0"/>
        <w:keepLines w:val="0"/>
        <w:pageBreakBefore w:val="0"/>
        <w:kinsoku/>
        <w:wordWrap/>
        <w:overflowPunct/>
        <w:topLinePunct w:val="0"/>
        <w:bidi w:val="0"/>
        <w:adjustRightInd w:val="0"/>
        <w:snapToGrid w:val="0"/>
        <w:spacing w:line="480" w:lineRule="exact"/>
        <w:ind w:firstLine="450" w:firstLineChars="150"/>
        <w:textAlignment w:val="auto"/>
        <w:rPr>
          <w:rFonts w:ascii="仿宋" w:hAnsi="仿宋" w:eastAsia="仿宋" w:cs="仿宋"/>
          <w:color w:val="auto"/>
          <w:sz w:val="30"/>
          <w:szCs w:val="30"/>
        </w:rPr>
      </w:pPr>
      <w:r>
        <w:rPr>
          <w:rFonts w:hint="eastAsia" w:ascii="仿宋" w:hAnsi="仿宋" w:eastAsia="仿宋" w:cs="仿宋"/>
          <w:color w:val="auto"/>
          <w:sz w:val="30"/>
          <w:szCs w:val="30"/>
        </w:rPr>
        <w:t xml:space="preserve">（一）在合同履行期间，如发生下述任何一种情况，双方有权终止、解除本合同，除双方另有约定外，不需承担违约责任： </w:t>
      </w:r>
    </w:p>
    <w:p w14:paraId="1E3DDC33">
      <w:pPr>
        <w:keepNext w:val="0"/>
        <w:keepLines w:val="0"/>
        <w:pageBreakBefore w:val="0"/>
        <w:kinsoku/>
        <w:wordWrap/>
        <w:overflowPunct/>
        <w:topLinePunct w:val="0"/>
        <w:bidi w:val="0"/>
        <w:adjustRightInd w:val="0"/>
        <w:snapToGrid w:val="0"/>
        <w:spacing w:line="480" w:lineRule="exact"/>
        <w:ind w:firstLine="600" w:firstLineChars="200"/>
        <w:textAlignment w:val="auto"/>
        <w:rPr>
          <w:rFonts w:ascii="仿宋" w:hAnsi="仿宋" w:eastAsia="仿宋" w:cs="仿宋"/>
          <w:color w:val="auto"/>
          <w:sz w:val="30"/>
          <w:szCs w:val="30"/>
        </w:rPr>
      </w:pPr>
      <w:r>
        <w:rPr>
          <w:rFonts w:hint="eastAsia" w:ascii="仿宋" w:hAnsi="仿宋" w:eastAsia="仿宋"/>
          <w:color w:val="auto"/>
          <w:sz w:val="30"/>
          <w:szCs w:val="30"/>
        </w:rPr>
        <w:t>1</w:t>
      </w:r>
      <w:r>
        <w:rPr>
          <w:rFonts w:hint="eastAsia" w:ascii="仿宋" w:hAnsi="仿宋" w:eastAsia="仿宋"/>
          <w:color w:val="auto"/>
          <w:sz w:val="30"/>
          <w:szCs w:val="30"/>
          <w:lang w:val="en-US" w:eastAsia="zh-CN"/>
        </w:rPr>
        <w:t>.</w:t>
      </w:r>
      <w:r>
        <w:rPr>
          <w:rFonts w:hint="eastAsia" w:ascii="仿宋" w:hAnsi="仿宋" w:eastAsia="仿宋" w:cs="仿宋"/>
          <w:color w:val="auto"/>
          <w:sz w:val="30"/>
          <w:szCs w:val="30"/>
        </w:rPr>
        <w:t xml:space="preserve">国家政策、法令而至本合同无法履行的； </w:t>
      </w:r>
    </w:p>
    <w:p w14:paraId="0D115A12">
      <w:pPr>
        <w:keepNext w:val="0"/>
        <w:keepLines w:val="0"/>
        <w:pageBreakBefore w:val="0"/>
        <w:kinsoku/>
        <w:wordWrap/>
        <w:overflowPunct/>
        <w:topLinePunct w:val="0"/>
        <w:bidi w:val="0"/>
        <w:adjustRightInd w:val="0"/>
        <w:snapToGrid w:val="0"/>
        <w:spacing w:line="480" w:lineRule="exact"/>
        <w:ind w:firstLine="600" w:firstLineChars="200"/>
        <w:textAlignment w:val="auto"/>
        <w:rPr>
          <w:rFonts w:ascii="仿宋" w:hAnsi="仿宋" w:eastAsia="仿宋" w:cs="仿宋"/>
          <w:color w:val="auto"/>
          <w:sz w:val="30"/>
          <w:szCs w:val="30"/>
        </w:rPr>
      </w:pPr>
      <w:r>
        <w:rPr>
          <w:rFonts w:hint="eastAsia" w:ascii="仿宋" w:hAnsi="仿宋" w:eastAsia="仿宋"/>
          <w:color w:val="auto"/>
          <w:sz w:val="30"/>
          <w:szCs w:val="30"/>
        </w:rPr>
        <w:t>2</w:t>
      </w:r>
      <w:r>
        <w:rPr>
          <w:rFonts w:hint="eastAsia" w:ascii="仿宋" w:hAnsi="仿宋" w:eastAsia="仿宋"/>
          <w:color w:val="auto"/>
          <w:sz w:val="30"/>
          <w:szCs w:val="30"/>
          <w:lang w:val="en-US" w:eastAsia="zh-CN"/>
        </w:rPr>
        <w:t>.</w:t>
      </w:r>
      <w:r>
        <w:rPr>
          <w:rFonts w:hint="eastAsia" w:ascii="仿宋" w:hAnsi="仿宋" w:eastAsia="仿宋" w:cs="仿宋"/>
          <w:color w:val="auto"/>
          <w:sz w:val="30"/>
          <w:szCs w:val="30"/>
        </w:rPr>
        <w:t>因一方解散、破产、合并、分立、查封、吊销营业执照而至本合同无法履行的；</w:t>
      </w:r>
    </w:p>
    <w:p w14:paraId="647907FC">
      <w:pPr>
        <w:keepNext w:val="0"/>
        <w:keepLines w:val="0"/>
        <w:pageBreakBefore w:val="0"/>
        <w:kinsoku/>
        <w:wordWrap/>
        <w:overflowPunct/>
        <w:topLinePunct w:val="0"/>
        <w:bidi w:val="0"/>
        <w:adjustRightInd w:val="0"/>
        <w:snapToGrid w:val="0"/>
        <w:spacing w:line="480" w:lineRule="exact"/>
        <w:ind w:firstLine="600" w:firstLineChars="200"/>
        <w:textAlignment w:val="auto"/>
        <w:rPr>
          <w:rFonts w:ascii="仿宋" w:hAnsi="仿宋" w:eastAsia="仿宋" w:cs="仿宋"/>
          <w:color w:val="auto"/>
          <w:sz w:val="30"/>
          <w:szCs w:val="30"/>
        </w:rPr>
      </w:pPr>
      <w:r>
        <w:rPr>
          <w:rFonts w:hint="eastAsia" w:ascii="仿宋" w:hAnsi="仿宋" w:eastAsia="仿宋"/>
          <w:color w:val="auto"/>
          <w:sz w:val="30"/>
          <w:szCs w:val="30"/>
        </w:rPr>
        <w:t>3</w:t>
      </w:r>
      <w:r>
        <w:rPr>
          <w:rFonts w:hint="eastAsia" w:ascii="仿宋" w:hAnsi="仿宋" w:eastAsia="仿宋"/>
          <w:color w:val="auto"/>
          <w:sz w:val="30"/>
          <w:szCs w:val="30"/>
          <w:lang w:val="en-US" w:eastAsia="zh-CN"/>
        </w:rPr>
        <w:t>.</w:t>
      </w:r>
      <w:r>
        <w:rPr>
          <w:rFonts w:hint="eastAsia" w:ascii="仿宋" w:hAnsi="仿宋" w:eastAsia="仿宋" w:cs="仿宋"/>
          <w:color w:val="auto"/>
          <w:sz w:val="30"/>
          <w:szCs w:val="30"/>
        </w:rPr>
        <w:t>发生不可抗力事件，包括但不限于地震、自然灾害、战争等不能预见、不能避免并不能克服的客观情况，导致事后无法恢复的；</w:t>
      </w:r>
    </w:p>
    <w:p w14:paraId="134E3CD3">
      <w:pPr>
        <w:keepNext w:val="0"/>
        <w:keepLines w:val="0"/>
        <w:pageBreakBefore w:val="0"/>
        <w:kinsoku/>
        <w:wordWrap/>
        <w:overflowPunct/>
        <w:topLinePunct w:val="0"/>
        <w:bidi w:val="0"/>
        <w:adjustRightInd w:val="0"/>
        <w:snapToGrid w:val="0"/>
        <w:spacing w:line="480" w:lineRule="exact"/>
        <w:ind w:firstLine="600" w:firstLineChars="200"/>
        <w:textAlignment w:val="auto"/>
        <w:rPr>
          <w:rFonts w:ascii="仿宋" w:hAnsi="仿宋" w:eastAsia="仿宋" w:cs="仿宋"/>
          <w:color w:val="auto"/>
          <w:sz w:val="30"/>
          <w:szCs w:val="30"/>
        </w:rPr>
      </w:pPr>
      <w:r>
        <w:rPr>
          <w:rFonts w:hint="eastAsia" w:ascii="仿宋" w:hAnsi="仿宋" w:eastAsia="仿宋"/>
          <w:color w:val="auto"/>
          <w:sz w:val="30"/>
          <w:szCs w:val="30"/>
        </w:rPr>
        <w:t>4</w:t>
      </w:r>
      <w:r>
        <w:rPr>
          <w:rFonts w:hint="eastAsia" w:ascii="仿宋" w:hAnsi="仿宋" w:eastAsia="仿宋"/>
          <w:color w:val="auto"/>
          <w:sz w:val="30"/>
          <w:szCs w:val="30"/>
          <w:lang w:val="en-US" w:eastAsia="zh-CN"/>
        </w:rPr>
        <w:t>.</w:t>
      </w:r>
      <w:r>
        <w:rPr>
          <w:rFonts w:hint="eastAsia" w:ascii="仿宋" w:hAnsi="仿宋" w:eastAsia="仿宋" w:cs="仿宋"/>
          <w:color w:val="auto"/>
          <w:sz w:val="30"/>
          <w:szCs w:val="30"/>
        </w:rPr>
        <w:t>经双方协商一致，同意终止、解除的；</w:t>
      </w:r>
    </w:p>
    <w:p w14:paraId="62F5FC37">
      <w:pPr>
        <w:keepNext w:val="0"/>
        <w:keepLines w:val="0"/>
        <w:pageBreakBefore w:val="0"/>
        <w:kinsoku/>
        <w:wordWrap/>
        <w:overflowPunct/>
        <w:topLinePunct w:val="0"/>
        <w:bidi w:val="0"/>
        <w:adjustRightInd w:val="0"/>
        <w:snapToGrid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5</w:t>
      </w:r>
      <w:r>
        <w:rPr>
          <w:rFonts w:hint="eastAsia" w:ascii="仿宋" w:hAnsi="仿宋" w:eastAsia="仿宋"/>
          <w:color w:val="auto"/>
          <w:sz w:val="30"/>
          <w:szCs w:val="30"/>
          <w:lang w:val="en-US" w:eastAsia="zh-CN"/>
        </w:rPr>
        <w:t>.</w:t>
      </w:r>
      <w:r>
        <w:rPr>
          <w:rFonts w:ascii="仿宋" w:hAnsi="仿宋" w:eastAsia="仿宋"/>
          <w:color w:val="auto"/>
          <w:sz w:val="30"/>
          <w:szCs w:val="30"/>
        </w:rPr>
        <w:t>合同期限届满且合同主体都已完全履行合同中约定的义务</w:t>
      </w:r>
      <w:r>
        <w:rPr>
          <w:rFonts w:hint="eastAsia" w:ascii="仿宋" w:hAnsi="仿宋" w:eastAsia="仿宋"/>
          <w:color w:val="auto"/>
          <w:sz w:val="30"/>
          <w:szCs w:val="30"/>
        </w:rPr>
        <w:t>。</w:t>
      </w:r>
    </w:p>
    <w:p w14:paraId="1A710FBF">
      <w:pPr>
        <w:keepNext w:val="0"/>
        <w:keepLines w:val="0"/>
        <w:pageBreakBefore w:val="0"/>
        <w:widowControl/>
        <w:kinsoku/>
        <w:wordWrap/>
        <w:overflowPunct/>
        <w:topLinePunct w:val="0"/>
        <w:bidi w:val="0"/>
        <w:adjustRightInd w:val="0"/>
        <w:snapToGrid w:val="0"/>
        <w:spacing w:line="480" w:lineRule="exact"/>
        <w:ind w:firstLine="450" w:firstLineChars="150"/>
        <w:textAlignment w:val="auto"/>
        <w:outlineLvl w:val="2"/>
        <w:rPr>
          <w:rFonts w:ascii="仿宋" w:hAnsi="仿宋" w:eastAsia="仿宋"/>
          <w:color w:val="auto"/>
          <w:kern w:val="0"/>
          <w:sz w:val="30"/>
          <w:szCs w:val="30"/>
        </w:rPr>
      </w:pPr>
      <w:r>
        <w:rPr>
          <w:rFonts w:hint="eastAsia" w:ascii="仿宋" w:hAnsi="仿宋" w:eastAsia="仿宋"/>
          <w:color w:val="auto"/>
          <w:kern w:val="0"/>
          <w:sz w:val="30"/>
          <w:szCs w:val="30"/>
        </w:rPr>
        <w:t>（二）</w:t>
      </w:r>
      <w:r>
        <w:rPr>
          <w:rFonts w:ascii="仿宋" w:hAnsi="仿宋" w:eastAsia="仿宋"/>
          <w:color w:val="auto"/>
          <w:kern w:val="0"/>
          <w:sz w:val="30"/>
          <w:szCs w:val="30"/>
        </w:rPr>
        <w:t>在合同期内，若甲方退出本项目物业的管理，甲方按照乙方的实际维护保养时间计算维护保养费支付给乙方（不足一月按天计算），甲方不承担违约责任，本合同随即终止。</w:t>
      </w:r>
    </w:p>
    <w:p w14:paraId="727FEE4A">
      <w:pPr>
        <w:keepNext w:val="0"/>
        <w:keepLines w:val="0"/>
        <w:pageBreakBefore w:val="0"/>
        <w:widowControl/>
        <w:kinsoku/>
        <w:wordWrap/>
        <w:overflowPunct/>
        <w:topLinePunct w:val="0"/>
        <w:bidi w:val="0"/>
        <w:adjustRightInd w:val="0"/>
        <w:snapToGrid w:val="0"/>
        <w:spacing w:line="480" w:lineRule="exact"/>
        <w:ind w:firstLine="450" w:firstLineChars="150"/>
        <w:textAlignment w:val="auto"/>
        <w:outlineLvl w:val="2"/>
        <w:rPr>
          <w:rFonts w:ascii="仿宋" w:hAnsi="仿宋" w:eastAsia="仿宋"/>
          <w:color w:val="auto"/>
          <w:kern w:val="0"/>
          <w:sz w:val="30"/>
          <w:szCs w:val="30"/>
        </w:rPr>
      </w:pPr>
      <w:r>
        <w:rPr>
          <w:rFonts w:hint="eastAsia" w:ascii="仿宋" w:hAnsi="仿宋" w:eastAsia="仿宋"/>
          <w:color w:val="auto"/>
          <w:kern w:val="0"/>
          <w:sz w:val="30"/>
          <w:szCs w:val="30"/>
        </w:rPr>
        <w:t>（三）</w:t>
      </w:r>
      <w:r>
        <w:rPr>
          <w:rFonts w:ascii="仿宋" w:hAnsi="仿宋" w:eastAsia="仿宋"/>
          <w:color w:val="auto"/>
          <w:kern w:val="0"/>
          <w:sz w:val="30"/>
          <w:szCs w:val="30"/>
        </w:rPr>
        <w:t>乙方因未按国家、省、市标准及本合同约定的维护频次、时间、维护标准提供维修保养服务致使发生消防安全事故的，甲方有权单方解除合同，</w:t>
      </w:r>
      <w:r>
        <w:rPr>
          <w:rFonts w:hint="eastAsia" w:ascii="仿宋" w:hAnsi="仿宋" w:eastAsia="仿宋"/>
          <w:color w:val="auto"/>
          <w:kern w:val="0"/>
          <w:sz w:val="30"/>
          <w:szCs w:val="30"/>
        </w:rPr>
        <w:t>且不退还履约保证金</w:t>
      </w:r>
      <w:r>
        <w:rPr>
          <w:rFonts w:ascii="仿宋" w:hAnsi="仿宋" w:eastAsia="仿宋"/>
          <w:color w:val="auto"/>
          <w:kern w:val="0"/>
          <w:sz w:val="30"/>
          <w:szCs w:val="30"/>
        </w:rPr>
        <w:t>。乙方对此给甲方或者第三人造成的损失负责赔偿</w:t>
      </w:r>
      <w:r>
        <w:rPr>
          <w:rFonts w:hint="eastAsia" w:ascii="仿宋" w:hAnsi="仿宋" w:eastAsia="仿宋"/>
          <w:color w:val="auto"/>
          <w:kern w:val="0"/>
          <w:sz w:val="30"/>
          <w:szCs w:val="30"/>
        </w:rPr>
        <w:t>，且应按照本合同约定承担违约责任</w:t>
      </w:r>
      <w:r>
        <w:rPr>
          <w:rFonts w:ascii="仿宋" w:hAnsi="仿宋" w:eastAsia="仿宋"/>
          <w:color w:val="auto"/>
          <w:kern w:val="0"/>
          <w:sz w:val="30"/>
          <w:szCs w:val="30"/>
        </w:rPr>
        <w:t>。</w:t>
      </w:r>
    </w:p>
    <w:p w14:paraId="6141BBCD">
      <w:pPr>
        <w:keepNext w:val="0"/>
        <w:keepLines w:val="0"/>
        <w:pageBreakBefore w:val="0"/>
        <w:widowControl/>
        <w:kinsoku/>
        <w:wordWrap/>
        <w:overflowPunct/>
        <w:topLinePunct w:val="0"/>
        <w:bidi w:val="0"/>
        <w:adjustRightInd w:val="0"/>
        <w:snapToGrid w:val="0"/>
        <w:spacing w:line="480" w:lineRule="exact"/>
        <w:ind w:firstLine="450" w:firstLineChars="150"/>
        <w:textAlignment w:val="auto"/>
        <w:outlineLvl w:val="2"/>
        <w:rPr>
          <w:rFonts w:ascii="仿宋" w:hAnsi="仿宋" w:eastAsia="仿宋"/>
          <w:color w:val="auto"/>
          <w:kern w:val="0"/>
          <w:sz w:val="30"/>
          <w:szCs w:val="30"/>
        </w:rPr>
      </w:pPr>
      <w:r>
        <w:rPr>
          <w:rFonts w:hint="eastAsia" w:ascii="仿宋" w:hAnsi="仿宋" w:eastAsia="仿宋"/>
          <w:color w:val="auto"/>
          <w:kern w:val="0"/>
          <w:sz w:val="30"/>
          <w:szCs w:val="30"/>
        </w:rPr>
        <w:t>（四）</w:t>
      </w:r>
      <w:r>
        <w:rPr>
          <w:rFonts w:ascii="仿宋" w:hAnsi="仿宋" w:eastAsia="仿宋"/>
          <w:color w:val="auto"/>
          <w:kern w:val="0"/>
          <w:sz w:val="30"/>
          <w:szCs w:val="30"/>
        </w:rPr>
        <w:t>消防主管部门检查时，因乙方维保原因出现消防系统存在故障或安全隐患导致相关整改费用、罚款的或检查不合格的，甲方有权单方解除合同，</w:t>
      </w:r>
      <w:r>
        <w:rPr>
          <w:rFonts w:hint="eastAsia" w:ascii="仿宋" w:hAnsi="仿宋" w:eastAsia="仿宋"/>
          <w:color w:val="auto"/>
          <w:kern w:val="0"/>
          <w:sz w:val="30"/>
          <w:szCs w:val="30"/>
        </w:rPr>
        <w:t>不退还履约保证金</w:t>
      </w:r>
      <w:r>
        <w:rPr>
          <w:rFonts w:ascii="仿宋" w:hAnsi="仿宋" w:eastAsia="仿宋"/>
          <w:color w:val="auto"/>
          <w:kern w:val="0"/>
          <w:sz w:val="30"/>
          <w:szCs w:val="30"/>
        </w:rPr>
        <w:t>并不承担任何法律责任。相关整改费用、罚款等由乙方承担；如由甲方先行支付，则可向乙方追偿。</w:t>
      </w:r>
      <w:r>
        <w:rPr>
          <w:rFonts w:hint="eastAsia" w:ascii="仿宋" w:hAnsi="仿宋" w:eastAsia="仿宋"/>
          <w:color w:val="auto"/>
          <w:kern w:val="0"/>
          <w:sz w:val="30"/>
          <w:szCs w:val="30"/>
        </w:rPr>
        <w:t>乙方应按照本合同约定承担违约责任。</w:t>
      </w:r>
    </w:p>
    <w:p w14:paraId="4FC1BBD0">
      <w:pPr>
        <w:keepNext w:val="0"/>
        <w:keepLines w:val="0"/>
        <w:pageBreakBefore w:val="0"/>
        <w:kinsoku/>
        <w:wordWrap/>
        <w:overflowPunct/>
        <w:topLinePunct w:val="0"/>
        <w:bidi w:val="0"/>
        <w:adjustRightInd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（五）</w:t>
      </w:r>
      <w:r>
        <w:rPr>
          <w:rFonts w:ascii="仿宋" w:hAnsi="仿宋" w:eastAsia="仿宋"/>
          <w:color w:val="auto"/>
          <w:sz w:val="30"/>
          <w:szCs w:val="30"/>
        </w:rPr>
        <w:t>乙方</w:t>
      </w:r>
      <w:r>
        <w:rPr>
          <w:rFonts w:hint="eastAsia" w:ascii="仿宋" w:hAnsi="仿宋" w:eastAsia="仿宋"/>
          <w:color w:val="auto"/>
          <w:sz w:val="30"/>
          <w:szCs w:val="30"/>
        </w:rPr>
        <w:t>累计</w:t>
      </w:r>
      <w:r>
        <w:rPr>
          <w:rFonts w:ascii="仿宋" w:hAnsi="仿宋" w:eastAsia="仿宋"/>
          <w:color w:val="auto"/>
          <w:sz w:val="30"/>
          <w:szCs w:val="30"/>
        </w:rPr>
        <w:t>出现</w:t>
      </w:r>
      <w:r>
        <w:rPr>
          <w:rFonts w:ascii="仿宋" w:hAnsi="仿宋" w:eastAsia="仿宋"/>
          <w:color w:val="auto"/>
          <w:sz w:val="30"/>
          <w:szCs w:val="30"/>
          <w:u w:val="single"/>
        </w:rPr>
        <w:t xml:space="preserve">3 </w:t>
      </w:r>
      <w:r>
        <w:rPr>
          <w:rFonts w:ascii="仿宋" w:hAnsi="仿宋" w:eastAsia="仿宋"/>
          <w:color w:val="auto"/>
          <w:sz w:val="30"/>
          <w:szCs w:val="30"/>
        </w:rPr>
        <w:t>次及以上维保达不到合同约定的维护保养标准或要求，或保养期限内出现经第三方权威机构鉴定的属于乙方责任的重大安全隐患，甲方有权立即解除合同，</w:t>
      </w:r>
      <w:r>
        <w:rPr>
          <w:rFonts w:hint="eastAsia" w:ascii="仿宋" w:hAnsi="仿宋" w:eastAsia="仿宋"/>
          <w:color w:val="auto"/>
          <w:sz w:val="30"/>
          <w:szCs w:val="30"/>
        </w:rPr>
        <w:t>且不退还履约保证金</w:t>
      </w:r>
      <w:r>
        <w:rPr>
          <w:rFonts w:ascii="仿宋" w:hAnsi="仿宋" w:eastAsia="仿宋"/>
          <w:color w:val="auto"/>
          <w:sz w:val="30"/>
          <w:szCs w:val="30"/>
        </w:rPr>
        <w:t>。</w:t>
      </w:r>
      <w:r>
        <w:rPr>
          <w:rFonts w:hint="eastAsia" w:ascii="仿宋" w:hAnsi="仿宋" w:eastAsia="仿宋"/>
          <w:color w:val="auto"/>
          <w:sz w:val="30"/>
          <w:szCs w:val="30"/>
        </w:rPr>
        <w:t>乙方应按照本合同约定承担违约责任。</w:t>
      </w:r>
    </w:p>
    <w:p w14:paraId="47BDCF97">
      <w:pPr>
        <w:keepNext w:val="0"/>
        <w:keepLines w:val="0"/>
        <w:pageBreakBefore w:val="0"/>
        <w:widowControl/>
        <w:kinsoku/>
        <w:wordWrap/>
        <w:overflowPunct/>
        <w:topLinePunct w:val="0"/>
        <w:bidi w:val="0"/>
        <w:adjustRightInd w:val="0"/>
        <w:snapToGrid w:val="0"/>
        <w:spacing w:line="480" w:lineRule="exact"/>
        <w:ind w:firstLine="450" w:firstLineChars="150"/>
        <w:textAlignment w:val="auto"/>
        <w:outlineLvl w:val="2"/>
        <w:rPr>
          <w:rFonts w:ascii="仿宋" w:hAnsi="仿宋" w:eastAsia="仿宋"/>
          <w:color w:val="auto"/>
          <w:kern w:val="0"/>
          <w:sz w:val="30"/>
          <w:szCs w:val="30"/>
        </w:rPr>
      </w:pPr>
      <w:r>
        <w:rPr>
          <w:rFonts w:hint="eastAsia" w:ascii="仿宋" w:hAnsi="仿宋" w:eastAsia="仿宋"/>
          <w:color w:val="auto"/>
          <w:kern w:val="0"/>
          <w:sz w:val="30"/>
          <w:szCs w:val="30"/>
        </w:rPr>
        <w:t>（六）</w:t>
      </w:r>
      <w:r>
        <w:rPr>
          <w:rFonts w:ascii="仿宋" w:hAnsi="仿宋" w:eastAsia="仿宋"/>
          <w:color w:val="auto"/>
          <w:kern w:val="0"/>
          <w:sz w:val="30"/>
          <w:szCs w:val="30"/>
        </w:rPr>
        <w:t>在设备发生故障或其他突发事件时，因乙方未按合同约定及时到达现场或虽按时到达现场但未及时处理设备故障，导致发生人员伤亡的，甲方有权无需通知乙方立即自动终止本合同，</w:t>
      </w:r>
      <w:r>
        <w:rPr>
          <w:rFonts w:hint="eastAsia" w:ascii="仿宋" w:hAnsi="仿宋" w:eastAsia="仿宋"/>
          <w:color w:val="auto"/>
          <w:kern w:val="0"/>
          <w:sz w:val="30"/>
          <w:szCs w:val="30"/>
        </w:rPr>
        <w:t>且不退还履约保证金</w:t>
      </w:r>
      <w:r>
        <w:rPr>
          <w:rFonts w:ascii="仿宋" w:hAnsi="仿宋" w:eastAsia="仿宋"/>
          <w:color w:val="auto"/>
          <w:kern w:val="0"/>
          <w:sz w:val="30"/>
          <w:szCs w:val="30"/>
        </w:rPr>
        <w:t>。</w:t>
      </w:r>
      <w:r>
        <w:rPr>
          <w:rFonts w:hint="eastAsia" w:ascii="仿宋" w:hAnsi="仿宋" w:eastAsia="仿宋"/>
          <w:color w:val="auto"/>
          <w:kern w:val="0"/>
          <w:sz w:val="30"/>
          <w:szCs w:val="30"/>
        </w:rPr>
        <w:t>乙方应按照本合同约定承担违约责任。</w:t>
      </w:r>
    </w:p>
    <w:p w14:paraId="11D68281">
      <w:pPr>
        <w:keepNext w:val="0"/>
        <w:keepLines w:val="0"/>
        <w:pageBreakBefore w:val="0"/>
        <w:kinsoku/>
        <w:wordWrap/>
        <w:overflowPunct/>
        <w:topLinePunct w:val="0"/>
        <w:bidi w:val="0"/>
        <w:adjustRightInd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（七）</w:t>
      </w:r>
      <w:r>
        <w:rPr>
          <w:rFonts w:ascii="仿宋" w:hAnsi="仿宋" w:eastAsia="仿宋"/>
          <w:color w:val="auto"/>
          <w:sz w:val="30"/>
          <w:szCs w:val="30"/>
        </w:rPr>
        <w:t>乙方违反约定将本合同项下维保服务转包或分包的，甲方有权单方面解除本协议，</w:t>
      </w:r>
      <w:r>
        <w:rPr>
          <w:rFonts w:hint="eastAsia" w:ascii="仿宋" w:hAnsi="仿宋" w:eastAsia="仿宋"/>
          <w:color w:val="auto"/>
          <w:sz w:val="30"/>
          <w:szCs w:val="30"/>
        </w:rPr>
        <w:t>不退还履约保证金，</w:t>
      </w:r>
      <w:r>
        <w:rPr>
          <w:rFonts w:ascii="仿宋" w:hAnsi="仿宋" w:eastAsia="仿宋"/>
          <w:color w:val="auto"/>
          <w:sz w:val="30"/>
          <w:szCs w:val="30"/>
        </w:rPr>
        <w:t>甲方不承担任何法律责任。</w:t>
      </w:r>
    </w:p>
    <w:p w14:paraId="5E2D4337">
      <w:pPr>
        <w:keepNext w:val="0"/>
        <w:keepLines w:val="0"/>
        <w:pageBreakBefore w:val="0"/>
        <w:kinsoku/>
        <w:wordWrap/>
        <w:overflowPunct/>
        <w:topLinePunct w:val="0"/>
        <w:bidi w:val="0"/>
        <w:adjustRightInd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（八）</w:t>
      </w:r>
      <w:r>
        <w:rPr>
          <w:rFonts w:ascii="仿宋" w:hAnsi="仿宋" w:eastAsia="仿宋"/>
          <w:color w:val="auto"/>
          <w:sz w:val="30"/>
          <w:szCs w:val="30"/>
        </w:rPr>
        <w:t>乙方对甲方工作人员赠送现金、礼品或请吃等行为，如经发现，甲方有权立即解除合同，</w:t>
      </w:r>
      <w:r>
        <w:rPr>
          <w:rFonts w:hint="eastAsia" w:ascii="仿宋" w:hAnsi="仿宋" w:eastAsia="仿宋"/>
          <w:color w:val="auto"/>
          <w:sz w:val="30"/>
          <w:szCs w:val="30"/>
        </w:rPr>
        <w:t>不退还履约保证</w:t>
      </w:r>
      <w:r>
        <w:rPr>
          <w:rFonts w:ascii="仿宋" w:hAnsi="仿宋" w:eastAsia="仿宋"/>
          <w:color w:val="auto"/>
          <w:sz w:val="30"/>
          <w:szCs w:val="30"/>
        </w:rPr>
        <w:t>且不承担任何违约责任。</w:t>
      </w:r>
    </w:p>
    <w:p w14:paraId="0E262740">
      <w:pPr>
        <w:keepNext w:val="0"/>
        <w:keepLines w:val="0"/>
        <w:pageBreakBefore w:val="0"/>
        <w:kinsoku/>
        <w:wordWrap/>
        <w:overflowPunct/>
        <w:topLinePunct w:val="0"/>
        <w:bidi w:val="0"/>
        <w:adjustRightInd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（九）</w:t>
      </w:r>
      <w:r>
        <w:rPr>
          <w:rFonts w:ascii="仿宋" w:hAnsi="仿宋" w:eastAsia="仿宋"/>
          <w:color w:val="auto"/>
          <w:sz w:val="30"/>
          <w:szCs w:val="30"/>
        </w:rPr>
        <w:t>乙方没有、丧失或资质不全的，甲方有权单方面解除本</w:t>
      </w:r>
      <w:r>
        <w:rPr>
          <w:rFonts w:hint="eastAsia" w:ascii="仿宋" w:hAnsi="仿宋" w:eastAsia="仿宋"/>
          <w:color w:val="auto"/>
          <w:sz w:val="30"/>
          <w:szCs w:val="30"/>
        </w:rPr>
        <w:t>合同</w:t>
      </w:r>
      <w:r>
        <w:rPr>
          <w:rFonts w:ascii="仿宋" w:hAnsi="仿宋" w:eastAsia="仿宋"/>
          <w:color w:val="auto"/>
          <w:sz w:val="30"/>
          <w:szCs w:val="30"/>
        </w:rPr>
        <w:t>，</w:t>
      </w:r>
      <w:r>
        <w:rPr>
          <w:rFonts w:hint="eastAsia" w:ascii="仿宋" w:hAnsi="仿宋" w:eastAsia="仿宋"/>
          <w:color w:val="auto"/>
          <w:sz w:val="30"/>
          <w:szCs w:val="30"/>
        </w:rPr>
        <w:t>且不退还履约保证金。</w:t>
      </w:r>
    </w:p>
    <w:p w14:paraId="3653ABAF">
      <w:pPr>
        <w:keepNext w:val="0"/>
        <w:keepLines w:val="0"/>
        <w:pageBreakBefore w:val="0"/>
        <w:kinsoku/>
        <w:wordWrap/>
        <w:overflowPunct/>
        <w:topLinePunct w:val="0"/>
        <w:bidi w:val="0"/>
        <w:adjustRightInd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（十）</w:t>
      </w:r>
      <w:r>
        <w:rPr>
          <w:rFonts w:ascii="仿宋" w:hAnsi="仿宋" w:eastAsia="仿宋"/>
          <w:color w:val="auto"/>
          <w:sz w:val="30"/>
          <w:szCs w:val="30"/>
        </w:rPr>
        <w:t>乙方侵犯甲方及甲方业主人身、财产安全的，甲方有权单方面解除本</w:t>
      </w:r>
      <w:r>
        <w:rPr>
          <w:rFonts w:hint="eastAsia" w:ascii="仿宋" w:hAnsi="仿宋" w:eastAsia="仿宋"/>
          <w:color w:val="auto"/>
          <w:sz w:val="30"/>
          <w:szCs w:val="30"/>
        </w:rPr>
        <w:t>合同</w:t>
      </w:r>
      <w:r>
        <w:rPr>
          <w:rFonts w:ascii="仿宋" w:hAnsi="仿宋" w:eastAsia="仿宋"/>
          <w:color w:val="auto"/>
          <w:sz w:val="30"/>
          <w:szCs w:val="30"/>
        </w:rPr>
        <w:t>，</w:t>
      </w:r>
      <w:r>
        <w:rPr>
          <w:rFonts w:hint="eastAsia" w:ascii="仿宋" w:hAnsi="仿宋" w:eastAsia="仿宋"/>
          <w:color w:val="auto"/>
          <w:sz w:val="30"/>
          <w:szCs w:val="30"/>
        </w:rPr>
        <w:t>不退还履约保证金，</w:t>
      </w:r>
      <w:r>
        <w:rPr>
          <w:rFonts w:ascii="仿宋" w:hAnsi="仿宋" w:eastAsia="仿宋"/>
          <w:color w:val="auto"/>
          <w:sz w:val="30"/>
          <w:szCs w:val="30"/>
        </w:rPr>
        <w:t>甲方不承担任何法律责任。</w:t>
      </w:r>
      <w:r>
        <w:rPr>
          <w:rFonts w:hint="eastAsia" w:ascii="仿宋" w:hAnsi="仿宋" w:eastAsia="仿宋"/>
          <w:color w:val="auto"/>
          <w:sz w:val="30"/>
          <w:szCs w:val="30"/>
        </w:rPr>
        <w:t>因此造成的损失，乙方自行承担一切赔偿责任。</w:t>
      </w:r>
    </w:p>
    <w:p w14:paraId="11B68C81">
      <w:pPr>
        <w:keepNext w:val="0"/>
        <w:keepLines w:val="0"/>
        <w:pageBreakBefore w:val="0"/>
        <w:kinsoku/>
        <w:wordWrap/>
        <w:overflowPunct/>
        <w:topLinePunct w:val="0"/>
        <w:bidi w:val="0"/>
        <w:adjustRightInd w:val="0"/>
        <w:snapToGrid w:val="0"/>
        <w:spacing w:line="480" w:lineRule="exact"/>
        <w:ind w:firstLine="450" w:firstLineChars="150"/>
        <w:textAlignment w:val="auto"/>
        <w:rPr>
          <w:rFonts w:ascii="仿宋" w:hAnsi="仿宋" w:eastAsia="仿宋"/>
          <w:color w:val="auto"/>
          <w:sz w:val="30"/>
          <w:szCs w:val="30"/>
        </w:rPr>
      </w:pPr>
      <w:r>
        <w:rPr>
          <w:rFonts w:hint="eastAsia" w:ascii="仿宋" w:hAnsi="仿宋" w:eastAsia="仿宋"/>
          <w:color w:val="auto"/>
          <w:sz w:val="30"/>
          <w:szCs w:val="30"/>
        </w:rPr>
        <w:t>（十一）乙方在本合同履行期间及终止后，向甲方业主或任何第三方散布不利于甲方名誉的言论，经甲方发现的，甲方有权单方解除本合同并有权要求乙方承担本合同总金额10%的违约金。</w:t>
      </w:r>
    </w:p>
    <w:p w14:paraId="46BDDDD5">
      <w:pPr>
        <w:keepNext w:val="0"/>
        <w:keepLines w:val="0"/>
        <w:pageBreakBefore w:val="0"/>
        <w:kinsoku/>
        <w:wordWrap/>
        <w:overflowPunct/>
        <w:topLinePunct w:val="0"/>
        <w:bidi w:val="0"/>
        <w:adjustRightInd w:val="0"/>
        <w:snapToGrid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（十二）</w:t>
      </w:r>
      <w:r>
        <w:rPr>
          <w:rFonts w:ascii="仿宋" w:hAnsi="仿宋" w:eastAsia="仿宋"/>
          <w:color w:val="auto"/>
          <w:sz w:val="30"/>
          <w:szCs w:val="30"/>
        </w:rPr>
        <w:t>合同终止或解除后，不影响双方在合同中约定的结算和清理条款的效力，双方依约据实结算，实行多退少补，双方另有约定除外。</w:t>
      </w:r>
    </w:p>
    <w:p w14:paraId="066831D7">
      <w:pPr>
        <w:keepNext w:val="0"/>
        <w:keepLines w:val="0"/>
        <w:pageBreakBefore w:val="0"/>
        <w:widowControl/>
        <w:tabs>
          <w:tab w:val="left" w:pos="851"/>
          <w:tab w:val="left" w:pos="1702"/>
        </w:tabs>
        <w:kinsoku/>
        <w:wordWrap/>
        <w:overflowPunct/>
        <w:topLinePunct w:val="0"/>
        <w:bidi w:val="0"/>
        <w:spacing w:before="156" w:line="480" w:lineRule="exact"/>
        <w:ind w:firstLine="602" w:firstLineChars="200"/>
        <w:jc w:val="left"/>
        <w:textAlignment w:val="auto"/>
        <w:outlineLvl w:val="0"/>
        <w:rPr>
          <w:rFonts w:ascii="仿宋" w:hAnsi="仿宋" w:eastAsia="仿宋"/>
          <w:b/>
          <w:color w:val="auto"/>
          <w:sz w:val="30"/>
          <w:szCs w:val="30"/>
        </w:rPr>
      </w:pPr>
      <w:r>
        <w:rPr>
          <w:rFonts w:hint="eastAsia" w:ascii="仿宋" w:hAnsi="仿宋" w:eastAsia="仿宋"/>
          <w:b/>
          <w:color w:val="auto"/>
          <w:sz w:val="30"/>
          <w:szCs w:val="30"/>
        </w:rPr>
        <w:t>第十三条保密条款</w:t>
      </w:r>
    </w:p>
    <w:p w14:paraId="20C9C2F3">
      <w:pPr>
        <w:keepNext w:val="0"/>
        <w:keepLines w:val="0"/>
        <w:pageBreakBefore w:val="0"/>
        <w:widowControl/>
        <w:tabs>
          <w:tab w:val="left" w:pos="851"/>
          <w:tab w:val="left" w:pos="1702"/>
        </w:tabs>
        <w:kinsoku/>
        <w:wordWrap/>
        <w:overflowPunct/>
        <w:topLinePunct w:val="0"/>
        <w:autoSpaceDE/>
        <w:autoSpaceDN/>
        <w:bidi w:val="0"/>
        <w:adjustRightInd/>
        <w:snapToGrid/>
        <w:spacing w:line="480" w:lineRule="exact"/>
        <w:ind w:firstLine="600" w:firstLineChars="200"/>
        <w:jc w:val="left"/>
        <w:textAlignment w:val="auto"/>
        <w:outlineLvl w:val="0"/>
        <w:rPr>
          <w:rFonts w:ascii="仿宋" w:hAnsi="仿宋" w:eastAsia="仿宋"/>
          <w:color w:val="auto"/>
          <w:sz w:val="30"/>
          <w:szCs w:val="30"/>
        </w:rPr>
      </w:pPr>
      <w:r>
        <w:rPr>
          <w:rFonts w:hint="eastAsia" w:ascii="仿宋" w:hAnsi="仿宋" w:eastAsia="仿宋"/>
          <w:color w:val="auto"/>
          <w:sz w:val="30"/>
          <w:szCs w:val="30"/>
        </w:rPr>
        <w:t>（一）任一方应将与下列事项有关的、在签订或履行本合同中获得的全部信息视为保密信息：</w:t>
      </w:r>
    </w:p>
    <w:p w14:paraId="6B911823">
      <w:pPr>
        <w:keepNext w:val="0"/>
        <w:keepLines w:val="0"/>
        <w:pageBreakBefore w:val="0"/>
        <w:tabs>
          <w:tab w:val="left" w:pos="1985"/>
        </w:tabs>
        <w:kinsoku/>
        <w:wordWrap/>
        <w:overflowPunct/>
        <w:topLinePunct w:val="0"/>
        <w:bidi w:val="0"/>
        <w:spacing w:line="480" w:lineRule="exact"/>
        <w:ind w:left="600"/>
        <w:textAlignment w:val="auto"/>
        <w:outlineLvl w:val="2"/>
        <w:rPr>
          <w:rFonts w:ascii="仿宋" w:hAnsi="仿宋" w:eastAsia="仿宋"/>
          <w:color w:val="auto"/>
          <w:sz w:val="30"/>
          <w:szCs w:val="30"/>
        </w:rPr>
      </w:pPr>
      <w:r>
        <w:rPr>
          <w:rFonts w:hint="eastAsia" w:ascii="仿宋" w:hAnsi="仿宋" w:eastAsia="仿宋"/>
          <w:color w:val="auto"/>
          <w:sz w:val="30"/>
          <w:szCs w:val="30"/>
        </w:rPr>
        <w:t>1</w:t>
      </w:r>
      <w:r>
        <w:rPr>
          <w:rFonts w:hint="eastAsia" w:ascii="仿宋" w:hAnsi="仿宋" w:eastAsia="仿宋"/>
          <w:color w:val="auto"/>
          <w:sz w:val="30"/>
          <w:szCs w:val="30"/>
          <w:lang w:val="en-US" w:eastAsia="zh-CN"/>
        </w:rPr>
        <w:t>.</w:t>
      </w:r>
      <w:r>
        <w:rPr>
          <w:rFonts w:hint="eastAsia" w:ascii="仿宋" w:hAnsi="仿宋" w:eastAsia="仿宋"/>
          <w:color w:val="auto"/>
          <w:sz w:val="30"/>
          <w:szCs w:val="30"/>
        </w:rPr>
        <w:t>本合同条款；</w:t>
      </w:r>
    </w:p>
    <w:p w14:paraId="14975A12">
      <w:pPr>
        <w:keepNext w:val="0"/>
        <w:keepLines w:val="0"/>
        <w:pageBreakBefore w:val="0"/>
        <w:tabs>
          <w:tab w:val="left" w:pos="1985"/>
        </w:tabs>
        <w:kinsoku/>
        <w:wordWrap/>
        <w:overflowPunct/>
        <w:topLinePunct w:val="0"/>
        <w:bidi w:val="0"/>
        <w:spacing w:line="480" w:lineRule="exact"/>
        <w:ind w:left="600"/>
        <w:textAlignment w:val="auto"/>
        <w:outlineLvl w:val="2"/>
        <w:rPr>
          <w:rFonts w:ascii="仿宋" w:hAnsi="仿宋" w:eastAsia="仿宋"/>
          <w:color w:val="auto"/>
          <w:sz w:val="30"/>
          <w:szCs w:val="30"/>
        </w:rPr>
      </w:pPr>
      <w:r>
        <w:rPr>
          <w:rFonts w:hint="eastAsia" w:ascii="仿宋" w:hAnsi="仿宋" w:eastAsia="仿宋"/>
          <w:color w:val="auto"/>
          <w:sz w:val="30"/>
          <w:szCs w:val="30"/>
        </w:rPr>
        <w:t>2</w:t>
      </w:r>
      <w:r>
        <w:rPr>
          <w:rFonts w:hint="eastAsia" w:ascii="仿宋" w:hAnsi="仿宋" w:eastAsia="仿宋"/>
          <w:color w:val="auto"/>
          <w:sz w:val="30"/>
          <w:szCs w:val="30"/>
          <w:lang w:val="en-US" w:eastAsia="zh-CN"/>
        </w:rPr>
        <w:t>.</w:t>
      </w:r>
      <w:r>
        <w:rPr>
          <w:rFonts w:hint="eastAsia" w:ascii="仿宋" w:hAnsi="仿宋" w:eastAsia="仿宋"/>
          <w:color w:val="auto"/>
          <w:sz w:val="30"/>
          <w:szCs w:val="30"/>
        </w:rPr>
        <w:t>与本合同有关的谈判；</w:t>
      </w:r>
    </w:p>
    <w:p w14:paraId="6A7877C8">
      <w:pPr>
        <w:keepNext w:val="0"/>
        <w:keepLines w:val="0"/>
        <w:pageBreakBefore w:val="0"/>
        <w:tabs>
          <w:tab w:val="left" w:pos="1985"/>
          <w:tab w:val="left" w:pos="2552"/>
        </w:tabs>
        <w:kinsoku/>
        <w:wordWrap/>
        <w:overflowPunct/>
        <w:topLinePunct w:val="0"/>
        <w:bidi w:val="0"/>
        <w:spacing w:line="480" w:lineRule="exact"/>
        <w:ind w:firstLine="600" w:firstLineChars="200"/>
        <w:textAlignment w:val="auto"/>
        <w:outlineLvl w:val="2"/>
        <w:rPr>
          <w:rFonts w:ascii="仿宋" w:hAnsi="仿宋" w:eastAsia="仿宋"/>
          <w:color w:val="auto"/>
          <w:sz w:val="30"/>
          <w:szCs w:val="30"/>
        </w:rPr>
      </w:pPr>
      <w:r>
        <w:rPr>
          <w:rFonts w:hint="eastAsia" w:ascii="仿宋" w:hAnsi="仿宋" w:eastAsia="仿宋"/>
          <w:color w:val="auto"/>
          <w:sz w:val="30"/>
          <w:szCs w:val="30"/>
        </w:rPr>
        <w:t>3</w:t>
      </w:r>
      <w:r>
        <w:rPr>
          <w:rFonts w:hint="eastAsia" w:ascii="仿宋" w:hAnsi="仿宋" w:eastAsia="仿宋"/>
          <w:color w:val="auto"/>
          <w:sz w:val="30"/>
          <w:szCs w:val="30"/>
          <w:lang w:val="en-US" w:eastAsia="zh-CN"/>
        </w:rPr>
        <w:t>.</w:t>
      </w:r>
      <w:r>
        <w:rPr>
          <w:rFonts w:hint="eastAsia" w:ascii="仿宋" w:hAnsi="仿宋" w:eastAsia="仿宋"/>
          <w:color w:val="auto"/>
          <w:sz w:val="30"/>
          <w:szCs w:val="30"/>
        </w:rPr>
        <w:t>在签订、履行本合同及在谈判中获得的另一方及其关联公司的商业秘密（包括但不限于彼此间披露的一切信息、文件和数据，除非该等数据已经公开）。</w:t>
      </w:r>
    </w:p>
    <w:p w14:paraId="4904CC93">
      <w:pPr>
        <w:keepNext w:val="0"/>
        <w:keepLines w:val="0"/>
        <w:pageBreakBefore w:val="0"/>
        <w:tabs>
          <w:tab w:val="left" w:pos="1985"/>
          <w:tab w:val="left" w:pos="2552"/>
        </w:tabs>
        <w:kinsoku/>
        <w:wordWrap/>
        <w:overflowPunct/>
        <w:topLinePunct w:val="0"/>
        <w:bidi w:val="0"/>
        <w:spacing w:line="480" w:lineRule="exact"/>
        <w:ind w:firstLine="600" w:firstLineChars="200"/>
        <w:textAlignment w:val="auto"/>
        <w:outlineLvl w:val="2"/>
        <w:rPr>
          <w:rFonts w:ascii="仿宋" w:hAnsi="仿宋" w:eastAsia="仿宋"/>
          <w:color w:val="auto"/>
          <w:sz w:val="30"/>
          <w:szCs w:val="30"/>
        </w:rPr>
      </w:pPr>
      <w:r>
        <w:rPr>
          <w:rFonts w:hint="eastAsia" w:ascii="仿宋" w:hAnsi="仿宋" w:eastAsia="仿宋"/>
          <w:color w:val="auto"/>
          <w:sz w:val="30"/>
          <w:szCs w:val="30"/>
        </w:rPr>
        <w:t>（二）</w:t>
      </w:r>
      <w:r>
        <w:rPr>
          <w:rFonts w:ascii="仿宋" w:hAnsi="仿宋" w:eastAsia="仿宋"/>
          <w:color w:val="auto"/>
          <w:sz w:val="30"/>
          <w:szCs w:val="30"/>
        </w:rPr>
        <w:t>双方在此同意和保证，未经本</w:t>
      </w:r>
      <w:r>
        <w:rPr>
          <w:rFonts w:hint="eastAsia" w:ascii="仿宋" w:hAnsi="仿宋" w:eastAsia="仿宋"/>
          <w:color w:val="auto"/>
          <w:sz w:val="30"/>
          <w:szCs w:val="30"/>
        </w:rPr>
        <w:t>合同</w:t>
      </w:r>
      <w:r>
        <w:rPr>
          <w:rFonts w:ascii="仿宋" w:hAnsi="仿宋" w:eastAsia="仿宋"/>
          <w:color w:val="auto"/>
          <w:sz w:val="30"/>
          <w:szCs w:val="30"/>
        </w:rPr>
        <w:t>另一方书面同意，不得将</w:t>
      </w:r>
      <w:r>
        <w:rPr>
          <w:rFonts w:hint="eastAsia" w:ascii="仿宋" w:hAnsi="仿宋" w:eastAsia="仿宋"/>
          <w:color w:val="auto"/>
          <w:sz w:val="30"/>
          <w:szCs w:val="30"/>
        </w:rPr>
        <w:t>保密信息</w:t>
      </w:r>
      <w:r>
        <w:rPr>
          <w:rFonts w:ascii="仿宋" w:hAnsi="仿宋" w:eastAsia="仿宋"/>
          <w:color w:val="auto"/>
          <w:sz w:val="30"/>
          <w:szCs w:val="30"/>
        </w:rPr>
        <w:t>向任何第三方披露</w:t>
      </w:r>
      <w:r>
        <w:rPr>
          <w:rFonts w:hint="eastAsia" w:ascii="仿宋" w:hAnsi="仿宋" w:eastAsia="仿宋"/>
          <w:color w:val="auto"/>
          <w:sz w:val="30"/>
          <w:szCs w:val="30"/>
        </w:rPr>
        <w:t>，否则将承担由此引发的全部法律责任并赔偿由此给对方造成的所有损失，</w:t>
      </w:r>
      <w:r>
        <w:rPr>
          <w:rFonts w:hint="eastAsia" w:ascii="仿宋" w:hAnsi="仿宋" w:eastAsia="仿宋" w:cs="仿宋_GB2312"/>
          <w:color w:val="auto"/>
          <w:sz w:val="30"/>
          <w:szCs w:val="30"/>
        </w:rPr>
        <w:t>但对方依法提供或第三方通过其他渠道知晓或该类资料已经进入公众渠道等非己方原因导致的除外</w:t>
      </w:r>
      <w:r>
        <w:rPr>
          <w:rFonts w:hint="eastAsia" w:ascii="仿宋" w:hAnsi="仿宋" w:eastAsia="仿宋"/>
          <w:color w:val="auto"/>
          <w:sz w:val="30"/>
          <w:szCs w:val="30"/>
        </w:rPr>
        <w:t>；</w:t>
      </w:r>
      <w:r>
        <w:rPr>
          <w:rFonts w:ascii="仿宋" w:hAnsi="仿宋" w:eastAsia="仿宋"/>
          <w:color w:val="auto"/>
          <w:sz w:val="30"/>
          <w:szCs w:val="30"/>
        </w:rPr>
        <w:t>在本</w:t>
      </w:r>
      <w:r>
        <w:rPr>
          <w:rFonts w:hint="eastAsia" w:ascii="仿宋" w:hAnsi="仿宋" w:eastAsia="仿宋"/>
          <w:color w:val="auto"/>
          <w:sz w:val="30"/>
          <w:szCs w:val="30"/>
        </w:rPr>
        <w:t>合同</w:t>
      </w:r>
      <w:r>
        <w:rPr>
          <w:rFonts w:ascii="仿宋" w:hAnsi="仿宋" w:eastAsia="仿宋"/>
          <w:color w:val="auto"/>
          <w:sz w:val="30"/>
          <w:szCs w:val="30"/>
        </w:rPr>
        <w:t>履行完毕或因任何原因终止后，对本</w:t>
      </w:r>
      <w:r>
        <w:rPr>
          <w:rFonts w:hint="eastAsia" w:ascii="仿宋" w:hAnsi="仿宋" w:eastAsia="仿宋"/>
          <w:color w:val="auto"/>
          <w:sz w:val="30"/>
          <w:szCs w:val="30"/>
        </w:rPr>
        <w:t>合同</w:t>
      </w:r>
      <w:r>
        <w:rPr>
          <w:rFonts w:ascii="仿宋" w:hAnsi="仿宋" w:eastAsia="仿宋"/>
          <w:color w:val="auto"/>
          <w:sz w:val="30"/>
          <w:szCs w:val="30"/>
        </w:rPr>
        <w:t>的任何一方而言，本条规定对其仍具有约束力。但是以下情形除外：</w:t>
      </w:r>
    </w:p>
    <w:p w14:paraId="33172294">
      <w:pPr>
        <w:keepNext w:val="0"/>
        <w:keepLines w:val="0"/>
        <w:pageBreakBefore w:val="0"/>
        <w:tabs>
          <w:tab w:val="left" w:pos="1985"/>
          <w:tab w:val="left" w:pos="2552"/>
        </w:tabs>
        <w:kinsoku/>
        <w:wordWrap/>
        <w:overflowPunct/>
        <w:topLinePunct w:val="0"/>
        <w:bidi w:val="0"/>
        <w:spacing w:line="480" w:lineRule="exact"/>
        <w:ind w:left="600"/>
        <w:textAlignment w:val="auto"/>
        <w:outlineLvl w:val="2"/>
        <w:rPr>
          <w:rFonts w:ascii="仿宋" w:hAnsi="仿宋" w:eastAsia="仿宋"/>
          <w:color w:val="auto"/>
          <w:sz w:val="30"/>
          <w:szCs w:val="30"/>
        </w:rPr>
      </w:pPr>
      <w:r>
        <w:rPr>
          <w:rFonts w:hint="eastAsia" w:ascii="仿宋" w:hAnsi="仿宋" w:eastAsia="仿宋"/>
          <w:color w:val="auto"/>
          <w:sz w:val="30"/>
          <w:szCs w:val="30"/>
        </w:rPr>
        <w:t>1</w:t>
      </w:r>
      <w:r>
        <w:rPr>
          <w:rFonts w:hint="eastAsia" w:ascii="仿宋" w:hAnsi="仿宋" w:eastAsia="仿宋"/>
          <w:color w:val="auto"/>
          <w:sz w:val="30"/>
          <w:szCs w:val="30"/>
          <w:lang w:val="en-US" w:eastAsia="zh-CN"/>
        </w:rPr>
        <w:t>.</w:t>
      </w:r>
      <w:r>
        <w:rPr>
          <w:rFonts w:ascii="仿宋" w:hAnsi="仿宋" w:eastAsia="仿宋"/>
          <w:color w:val="auto"/>
          <w:sz w:val="30"/>
          <w:szCs w:val="30"/>
        </w:rPr>
        <w:t>依据中国法律</w:t>
      </w:r>
      <w:r>
        <w:rPr>
          <w:rFonts w:hint="eastAsia" w:ascii="仿宋" w:hAnsi="仿宋" w:eastAsia="仿宋"/>
          <w:color w:val="auto"/>
          <w:sz w:val="30"/>
          <w:szCs w:val="30"/>
        </w:rPr>
        <w:t>法规</w:t>
      </w:r>
      <w:r>
        <w:rPr>
          <w:rFonts w:ascii="仿宋" w:hAnsi="仿宋" w:eastAsia="仿宋"/>
          <w:color w:val="auto"/>
          <w:sz w:val="30"/>
          <w:szCs w:val="30"/>
        </w:rPr>
        <w:t>要求应当披露；</w:t>
      </w:r>
    </w:p>
    <w:p w14:paraId="7A29E5E1">
      <w:pPr>
        <w:keepNext w:val="0"/>
        <w:keepLines w:val="0"/>
        <w:pageBreakBefore w:val="0"/>
        <w:tabs>
          <w:tab w:val="left" w:pos="1985"/>
          <w:tab w:val="left" w:pos="2552"/>
        </w:tabs>
        <w:kinsoku/>
        <w:wordWrap/>
        <w:overflowPunct/>
        <w:topLinePunct w:val="0"/>
        <w:bidi w:val="0"/>
        <w:spacing w:line="480" w:lineRule="exact"/>
        <w:ind w:left="600"/>
        <w:textAlignment w:val="auto"/>
        <w:outlineLvl w:val="2"/>
        <w:rPr>
          <w:rFonts w:ascii="仿宋" w:hAnsi="仿宋" w:eastAsia="仿宋"/>
          <w:color w:val="auto"/>
          <w:sz w:val="30"/>
          <w:szCs w:val="30"/>
        </w:rPr>
      </w:pPr>
      <w:r>
        <w:rPr>
          <w:rFonts w:hint="eastAsia" w:ascii="仿宋" w:hAnsi="仿宋" w:eastAsia="仿宋"/>
          <w:color w:val="auto"/>
          <w:sz w:val="30"/>
          <w:szCs w:val="30"/>
        </w:rPr>
        <w:t>2</w:t>
      </w:r>
      <w:r>
        <w:rPr>
          <w:rFonts w:hint="eastAsia" w:ascii="仿宋" w:hAnsi="仿宋" w:eastAsia="仿宋"/>
          <w:color w:val="auto"/>
          <w:sz w:val="30"/>
          <w:szCs w:val="30"/>
          <w:lang w:val="en-US" w:eastAsia="zh-CN"/>
        </w:rPr>
        <w:t>.</w:t>
      </w:r>
      <w:r>
        <w:rPr>
          <w:rFonts w:ascii="仿宋" w:hAnsi="仿宋" w:eastAsia="仿宋"/>
          <w:color w:val="auto"/>
          <w:sz w:val="30"/>
          <w:szCs w:val="30"/>
        </w:rPr>
        <w:t>依据任何有管辖权的政府机关、监管机构的要求应当披露；</w:t>
      </w:r>
    </w:p>
    <w:p w14:paraId="1CE44DAA">
      <w:pPr>
        <w:keepNext w:val="0"/>
        <w:keepLines w:val="0"/>
        <w:pageBreakBefore w:val="0"/>
        <w:tabs>
          <w:tab w:val="left" w:pos="1985"/>
          <w:tab w:val="left" w:pos="2552"/>
        </w:tabs>
        <w:kinsoku/>
        <w:wordWrap/>
        <w:overflowPunct/>
        <w:topLinePunct w:val="0"/>
        <w:bidi w:val="0"/>
        <w:spacing w:line="480" w:lineRule="exact"/>
        <w:ind w:left="600"/>
        <w:textAlignment w:val="auto"/>
        <w:outlineLvl w:val="2"/>
        <w:rPr>
          <w:rFonts w:ascii="仿宋" w:hAnsi="仿宋" w:eastAsia="仿宋"/>
          <w:color w:val="auto"/>
          <w:sz w:val="30"/>
          <w:szCs w:val="30"/>
        </w:rPr>
      </w:pPr>
      <w:r>
        <w:rPr>
          <w:rFonts w:hint="eastAsia" w:ascii="仿宋" w:hAnsi="仿宋" w:eastAsia="仿宋"/>
          <w:color w:val="auto"/>
          <w:sz w:val="30"/>
          <w:szCs w:val="30"/>
        </w:rPr>
        <w:t>3</w:t>
      </w:r>
      <w:r>
        <w:rPr>
          <w:rFonts w:hint="eastAsia" w:ascii="仿宋" w:hAnsi="仿宋" w:eastAsia="仿宋"/>
          <w:color w:val="auto"/>
          <w:sz w:val="30"/>
          <w:szCs w:val="30"/>
          <w:lang w:val="en-US" w:eastAsia="zh-CN"/>
        </w:rPr>
        <w:t>.</w:t>
      </w:r>
      <w:r>
        <w:rPr>
          <w:rFonts w:ascii="仿宋" w:hAnsi="仿宋" w:eastAsia="仿宋"/>
          <w:color w:val="auto"/>
          <w:sz w:val="30"/>
          <w:szCs w:val="30"/>
        </w:rPr>
        <w:t>向己方的专业顾问或律师披露；</w:t>
      </w:r>
    </w:p>
    <w:p w14:paraId="3AEF01A6">
      <w:pPr>
        <w:keepNext w:val="0"/>
        <w:keepLines w:val="0"/>
        <w:pageBreakBefore w:val="0"/>
        <w:tabs>
          <w:tab w:val="left" w:pos="1985"/>
          <w:tab w:val="left" w:pos="2552"/>
        </w:tabs>
        <w:kinsoku/>
        <w:wordWrap/>
        <w:overflowPunct/>
        <w:topLinePunct w:val="0"/>
        <w:bidi w:val="0"/>
        <w:spacing w:line="480" w:lineRule="exact"/>
        <w:ind w:left="600"/>
        <w:textAlignment w:val="auto"/>
        <w:outlineLvl w:val="2"/>
        <w:rPr>
          <w:rFonts w:ascii="仿宋" w:hAnsi="仿宋" w:eastAsia="仿宋"/>
          <w:color w:val="auto"/>
          <w:sz w:val="30"/>
          <w:szCs w:val="30"/>
        </w:rPr>
      </w:pPr>
      <w:r>
        <w:rPr>
          <w:rFonts w:hint="eastAsia" w:ascii="仿宋" w:hAnsi="仿宋" w:eastAsia="仿宋"/>
          <w:color w:val="auto"/>
          <w:sz w:val="30"/>
          <w:szCs w:val="30"/>
        </w:rPr>
        <w:t>4</w:t>
      </w:r>
      <w:r>
        <w:rPr>
          <w:rFonts w:hint="eastAsia" w:ascii="仿宋" w:hAnsi="仿宋" w:eastAsia="仿宋"/>
          <w:color w:val="auto"/>
          <w:sz w:val="30"/>
          <w:szCs w:val="30"/>
          <w:lang w:val="en-US" w:eastAsia="zh-CN"/>
        </w:rPr>
        <w:t>.</w:t>
      </w:r>
      <w:r>
        <w:rPr>
          <w:rFonts w:ascii="仿宋" w:hAnsi="仿宋" w:eastAsia="仿宋"/>
          <w:color w:val="auto"/>
          <w:sz w:val="30"/>
          <w:szCs w:val="30"/>
        </w:rPr>
        <w:t>双方事先给予书面同意。</w:t>
      </w:r>
    </w:p>
    <w:p w14:paraId="12E79315">
      <w:pPr>
        <w:keepNext w:val="0"/>
        <w:keepLines w:val="0"/>
        <w:pageBreakBefore w:val="0"/>
        <w:widowControl/>
        <w:tabs>
          <w:tab w:val="left" w:pos="851"/>
          <w:tab w:val="left" w:pos="1702"/>
        </w:tabs>
        <w:kinsoku/>
        <w:wordWrap/>
        <w:overflowPunct/>
        <w:topLinePunct w:val="0"/>
        <w:bidi w:val="0"/>
        <w:spacing w:before="156" w:line="480" w:lineRule="exact"/>
        <w:ind w:firstLine="602" w:firstLineChars="200"/>
        <w:jc w:val="left"/>
        <w:textAlignment w:val="auto"/>
        <w:outlineLvl w:val="0"/>
        <w:rPr>
          <w:rFonts w:ascii="仿宋" w:hAnsi="仿宋" w:eastAsia="仿宋"/>
          <w:color w:val="auto"/>
          <w:sz w:val="30"/>
          <w:szCs w:val="30"/>
        </w:rPr>
      </w:pPr>
      <w:r>
        <w:rPr>
          <w:rFonts w:hint="eastAsia" w:ascii="仿宋" w:hAnsi="仿宋" w:eastAsia="仿宋"/>
          <w:b/>
          <w:color w:val="auto"/>
          <w:sz w:val="30"/>
          <w:szCs w:val="30"/>
        </w:rPr>
        <w:t>第十四条附则</w:t>
      </w:r>
    </w:p>
    <w:p w14:paraId="51BF12EA">
      <w:pPr>
        <w:keepNext w:val="0"/>
        <w:keepLines w:val="0"/>
        <w:pageBreakBefore w:val="0"/>
        <w:kinsoku/>
        <w:wordWrap/>
        <w:overflowPunct/>
        <w:topLinePunct w:val="0"/>
        <w:bidi w:val="0"/>
        <w:adjustRightInd w:val="0"/>
        <w:snapToGrid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（一）</w:t>
      </w:r>
      <w:r>
        <w:rPr>
          <w:rFonts w:ascii="仿宋" w:hAnsi="仿宋" w:eastAsia="仿宋"/>
          <w:color w:val="auto"/>
          <w:sz w:val="30"/>
          <w:szCs w:val="30"/>
        </w:rPr>
        <w:t>因甲方所属集团内部管理需要，导致签订本</w:t>
      </w:r>
      <w:r>
        <w:rPr>
          <w:rFonts w:hint="eastAsia" w:ascii="仿宋" w:hAnsi="仿宋" w:eastAsia="仿宋"/>
          <w:color w:val="auto"/>
          <w:sz w:val="30"/>
          <w:szCs w:val="30"/>
        </w:rPr>
        <w:t>合同</w:t>
      </w:r>
      <w:r>
        <w:rPr>
          <w:rFonts w:ascii="仿宋" w:hAnsi="仿宋" w:eastAsia="仿宋"/>
          <w:color w:val="auto"/>
          <w:sz w:val="30"/>
          <w:szCs w:val="30"/>
        </w:rPr>
        <w:t>的甲方注销、合并的，由注销、合并后的甲方所属集团其他企业与乙方签订变更主体的协议，其他内容约定仍然不变，不影响本协议的全面执行。</w:t>
      </w:r>
    </w:p>
    <w:p w14:paraId="2E3A92C8">
      <w:pPr>
        <w:keepNext w:val="0"/>
        <w:keepLines w:val="0"/>
        <w:pageBreakBefore w:val="0"/>
        <w:tabs>
          <w:tab w:val="left" w:pos="709"/>
        </w:tabs>
        <w:kinsoku/>
        <w:wordWrap/>
        <w:overflowPunct/>
        <w:topLinePunct w:val="0"/>
        <w:bidi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二）如双方当事人无另行书面通知，以本合同文首填写的通讯地址作为邮寄地址，任何需向合同对方当事人送达的通知、函件等，在发送至上述邮寄地址后5日，均视为送达。前述邮寄地址发生变更时，应于变更之日起3日内将新的邮寄地址书面函告合同对方当事人，否则将视为邮寄地址未予变更。</w:t>
      </w:r>
    </w:p>
    <w:p w14:paraId="71CCC84D">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s="仿宋_GB2312"/>
          <w:color w:val="auto"/>
          <w:sz w:val="30"/>
          <w:szCs w:val="30"/>
        </w:rPr>
      </w:pPr>
      <w:r>
        <w:rPr>
          <w:rFonts w:hint="eastAsia" w:ascii="仿宋" w:hAnsi="仿宋" w:eastAsia="仿宋"/>
          <w:color w:val="auto"/>
          <w:sz w:val="30"/>
          <w:szCs w:val="30"/>
        </w:rPr>
        <w:t>（三）</w:t>
      </w:r>
      <w:r>
        <w:rPr>
          <w:rFonts w:hint="eastAsia" w:ascii="仿宋" w:hAnsi="仿宋" w:eastAsia="仿宋" w:cs="仿宋_GB2312"/>
          <w:color w:val="auto"/>
          <w:sz w:val="30"/>
          <w:szCs w:val="30"/>
        </w:rPr>
        <w:t>因本合同之订立、履行发生的争议以及与本合同有关的其他争议，由双方协商解决；协商不成时，双方均有权向甲方所在地人民法院提起诉讼。</w:t>
      </w:r>
    </w:p>
    <w:p w14:paraId="466FE89E">
      <w:pPr>
        <w:keepNext w:val="0"/>
        <w:keepLines w:val="0"/>
        <w:pageBreakBefore w:val="0"/>
        <w:kinsoku/>
        <w:wordWrap/>
        <w:overflowPunct/>
        <w:topLinePunct w:val="0"/>
        <w:bidi w:val="0"/>
        <w:adjustRightInd w:val="0"/>
        <w:snapToGrid w:val="0"/>
        <w:spacing w:line="480" w:lineRule="exact"/>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（四）本合同未尽事宜，经双方协商，可签订补充协议；补充协议是本合同不可分割的组成部分，与本合同具有同等法律效力。</w:t>
      </w:r>
    </w:p>
    <w:p w14:paraId="1A280812">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s="仿宋_GB2312"/>
          <w:color w:val="auto"/>
          <w:sz w:val="30"/>
          <w:szCs w:val="30"/>
        </w:rPr>
      </w:pPr>
      <w:r>
        <w:rPr>
          <w:rFonts w:hint="eastAsia" w:ascii="仿宋" w:hAnsi="仿宋" w:eastAsia="仿宋"/>
          <w:color w:val="auto"/>
          <w:sz w:val="30"/>
          <w:szCs w:val="30"/>
        </w:rPr>
        <w:t>（五）</w:t>
      </w:r>
      <w:r>
        <w:rPr>
          <w:rFonts w:hint="eastAsia" w:ascii="仿宋" w:hAnsi="仿宋" w:eastAsia="仿宋" w:cs="仿宋_GB2312"/>
          <w:color w:val="auto"/>
          <w:sz w:val="30"/>
          <w:szCs w:val="30"/>
        </w:rPr>
        <w:t>本合同一式</w:t>
      </w:r>
      <w:r>
        <w:rPr>
          <w:rFonts w:hint="eastAsia" w:ascii="仿宋" w:hAnsi="仿宋" w:eastAsia="仿宋" w:cs="仿宋_GB2312"/>
          <w:color w:val="auto"/>
          <w:sz w:val="30"/>
          <w:szCs w:val="30"/>
          <w:u w:val="single"/>
        </w:rPr>
        <w:t xml:space="preserve"> 伍 </w:t>
      </w:r>
      <w:r>
        <w:rPr>
          <w:rFonts w:hint="eastAsia" w:ascii="仿宋" w:hAnsi="仿宋" w:eastAsia="仿宋" w:cs="仿宋_GB2312"/>
          <w:color w:val="auto"/>
          <w:sz w:val="30"/>
          <w:szCs w:val="30"/>
        </w:rPr>
        <w:t>份，甲方执</w:t>
      </w:r>
      <w:r>
        <w:rPr>
          <w:rFonts w:hint="eastAsia" w:ascii="仿宋" w:hAnsi="仿宋" w:eastAsia="仿宋" w:cs="仿宋_GB2312"/>
          <w:color w:val="auto"/>
          <w:sz w:val="30"/>
          <w:szCs w:val="30"/>
          <w:u w:val="single"/>
        </w:rPr>
        <w:t xml:space="preserve">肆 </w:t>
      </w:r>
      <w:r>
        <w:rPr>
          <w:rFonts w:hint="eastAsia" w:ascii="仿宋" w:hAnsi="仿宋" w:eastAsia="仿宋" w:cs="仿宋_GB2312"/>
          <w:color w:val="auto"/>
          <w:sz w:val="30"/>
          <w:szCs w:val="30"/>
        </w:rPr>
        <w:t>份，乙方执</w:t>
      </w:r>
      <w:r>
        <w:rPr>
          <w:rFonts w:hint="eastAsia" w:ascii="仿宋" w:hAnsi="仿宋" w:eastAsia="仿宋" w:cs="仿宋_GB2312"/>
          <w:color w:val="auto"/>
          <w:sz w:val="30"/>
          <w:szCs w:val="30"/>
          <w:u w:val="single"/>
        </w:rPr>
        <w:t xml:space="preserve"> 壹 </w:t>
      </w:r>
      <w:r>
        <w:rPr>
          <w:rFonts w:hint="eastAsia" w:ascii="仿宋" w:hAnsi="仿宋" w:eastAsia="仿宋" w:cs="仿宋_GB2312"/>
          <w:color w:val="auto"/>
          <w:sz w:val="30"/>
          <w:szCs w:val="30"/>
        </w:rPr>
        <w:t xml:space="preserve">份，均具有同等法律效力。本合同经双方签字、盖章后生效。 </w:t>
      </w:r>
    </w:p>
    <w:p w14:paraId="3382D7A6">
      <w:pPr>
        <w:keepNext w:val="0"/>
        <w:keepLines w:val="0"/>
        <w:pageBreakBefore w:val="0"/>
        <w:kinsoku/>
        <w:wordWrap/>
        <w:overflowPunct/>
        <w:topLinePunct w:val="0"/>
        <w:bidi w:val="0"/>
        <w:adjustRightInd w:val="0"/>
        <w:snapToGrid w:val="0"/>
        <w:spacing w:before="240" w:line="480" w:lineRule="exact"/>
        <w:ind w:firstLine="602" w:firstLineChars="200"/>
        <w:textAlignment w:val="auto"/>
        <w:rPr>
          <w:rFonts w:ascii="仿宋" w:hAnsi="仿宋" w:eastAsia="仿宋"/>
          <w:b/>
          <w:bCs/>
          <w:color w:val="auto"/>
          <w:sz w:val="30"/>
          <w:szCs w:val="30"/>
        </w:rPr>
      </w:pPr>
      <w:r>
        <w:rPr>
          <w:rFonts w:hint="eastAsia" w:ascii="仿宋" w:hAnsi="仿宋" w:eastAsia="仿宋"/>
          <w:b/>
          <w:bCs/>
          <w:color w:val="auto"/>
          <w:sz w:val="30"/>
          <w:szCs w:val="30"/>
        </w:rPr>
        <w:t>（六）乙方已认真阅读、充分理解本合同中各条款，包括免除甲方责任的免责条款及对乙方的权利限制条款。乙方认为本合同内容不存在任何歧义，并同意按照合同约定履行义务。</w:t>
      </w:r>
    </w:p>
    <w:p w14:paraId="4B829C19">
      <w:pPr>
        <w:keepNext w:val="0"/>
        <w:keepLines w:val="0"/>
        <w:pageBreakBefore w:val="0"/>
        <w:kinsoku/>
        <w:wordWrap/>
        <w:overflowPunct/>
        <w:topLinePunct w:val="0"/>
        <w:bidi w:val="0"/>
        <w:spacing w:line="480" w:lineRule="exact"/>
        <w:ind w:firstLine="600" w:firstLineChars="200"/>
        <w:textAlignment w:val="auto"/>
        <w:rPr>
          <w:rFonts w:ascii="仿宋" w:hAnsi="仿宋" w:eastAsia="仿宋" w:cs="仿宋_GB2312"/>
          <w:color w:val="auto"/>
          <w:sz w:val="30"/>
          <w:szCs w:val="30"/>
        </w:rPr>
      </w:pPr>
      <w:r>
        <w:rPr>
          <w:rFonts w:hint="eastAsia" w:ascii="仿宋" w:hAnsi="仿宋" w:eastAsia="仿宋"/>
          <w:color w:val="auto"/>
          <w:sz w:val="30"/>
          <w:szCs w:val="30"/>
        </w:rPr>
        <w:t>（七）合同附件：</w:t>
      </w:r>
      <w:r>
        <w:rPr>
          <w:rFonts w:hint="eastAsia" w:ascii="仿宋" w:hAnsi="仿宋" w:eastAsia="仿宋" w:cs="仿宋_GB2312"/>
          <w:color w:val="auto"/>
          <w:sz w:val="30"/>
          <w:szCs w:val="30"/>
        </w:rPr>
        <w:t>本合同附件与合同具备同等法律效力。</w:t>
      </w:r>
    </w:p>
    <w:p w14:paraId="19EB8AD8">
      <w:pPr>
        <w:keepNext w:val="0"/>
        <w:keepLines w:val="0"/>
        <w:pageBreakBefore w:val="0"/>
        <w:widowControl/>
        <w:kinsoku/>
        <w:wordWrap/>
        <w:overflowPunct/>
        <w:topLinePunct w:val="0"/>
        <w:bidi w:val="0"/>
        <w:snapToGrid w:val="0"/>
        <w:spacing w:line="480" w:lineRule="exact"/>
        <w:ind w:firstLine="750" w:firstLineChars="250"/>
        <w:textAlignment w:val="auto"/>
        <w:outlineLvl w:val="2"/>
        <w:rPr>
          <w:rFonts w:ascii="仿宋" w:hAnsi="仿宋" w:eastAsia="仿宋"/>
          <w:color w:val="auto"/>
          <w:kern w:val="0"/>
          <w:sz w:val="30"/>
          <w:szCs w:val="30"/>
        </w:rPr>
      </w:pPr>
      <w:r>
        <w:rPr>
          <w:rFonts w:hint="eastAsia" w:ascii="仿宋" w:hAnsi="仿宋" w:eastAsia="仿宋"/>
          <w:color w:val="auto"/>
          <w:kern w:val="0"/>
          <w:sz w:val="30"/>
          <w:szCs w:val="30"/>
        </w:rPr>
        <w:t>附件一：维护保养标准</w:t>
      </w:r>
    </w:p>
    <w:p w14:paraId="6DD92639">
      <w:pPr>
        <w:keepNext w:val="0"/>
        <w:keepLines w:val="0"/>
        <w:pageBreakBefore w:val="0"/>
        <w:widowControl/>
        <w:kinsoku/>
        <w:wordWrap/>
        <w:overflowPunct/>
        <w:topLinePunct w:val="0"/>
        <w:bidi w:val="0"/>
        <w:snapToGrid w:val="0"/>
        <w:spacing w:line="480" w:lineRule="exact"/>
        <w:ind w:firstLine="750" w:firstLineChars="250"/>
        <w:textAlignment w:val="auto"/>
        <w:outlineLvl w:val="2"/>
        <w:rPr>
          <w:rFonts w:ascii="仿宋" w:hAnsi="仿宋" w:eastAsia="仿宋"/>
          <w:color w:val="auto"/>
          <w:kern w:val="0"/>
          <w:sz w:val="30"/>
          <w:szCs w:val="30"/>
        </w:rPr>
      </w:pPr>
      <w:r>
        <w:rPr>
          <w:rFonts w:hint="eastAsia" w:ascii="仿宋" w:hAnsi="仿宋" w:eastAsia="仿宋"/>
          <w:color w:val="auto"/>
          <w:kern w:val="0"/>
          <w:sz w:val="30"/>
          <w:szCs w:val="30"/>
        </w:rPr>
        <w:t>附件二：消防维保月度总结模板</w:t>
      </w:r>
    </w:p>
    <w:p w14:paraId="6A9067E5">
      <w:pPr>
        <w:keepNext w:val="0"/>
        <w:keepLines w:val="0"/>
        <w:pageBreakBefore w:val="0"/>
        <w:widowControl/>
        <w:kinsoku/>
        <w:wordWrap/>
        <w:overflowPunct/>
        <w:topLinePunct w:val="0"/>
        <w:bidi w:val="0"/>
        <w:snapToGrid w:val="0"/>
        <w:spacing w:line="480" w:lineRule="exact"/>
        <w:ind w:firstLine="750" w:firstLineChars="250"/>
        <w:textAlignment w:val="auto"/>
        <w:outlineLvl w:val="2"/>
        <w:rPr>
          <w:rFonts w:ascii="仿宋" w:hAnsi="仿宋" w:eastAsia="仿宋"/>
          <w:color w:val="auto"/>
          <w:kern w:val="0"/>
          <w:sz w:val="30"/>
          <w:szCs w:val="30"/>
        </w:rPr>
      </w:pPr>
      <w:r>
        <w:rPr>
          <w:rFonts w:hint="eastAsia" w:ascii="仿宋" w:hAnsi="仿宋" w:eastAsia="仿宋"/>
          <w:color w:val="auto"/>
          <w:kern w:val="0"/>
          <w:sz w:val="30"/>
          <w:szCs w:val="30"/>
        </w:rPr>
        <w:t>附件三：消防维保违约具体情形及扣款</w:t>
      </w:r>
    </w:p>
    <w:p w14:paraId="172E7E22">
      <w:pPr>
        <w:keepNext w:val="0"/>
        <w:keepLines w:val="0"/>
        <w:pageBreakBefore w:val="0"/>
        <w:widowControl/>
        <w:kinsoku/>
        <w:wordWrap/>
        <w:overflowPunct/>
        <w:topLinePunct w:val="0"/>
        <w:bidi w:val="0"/>
        <w:snapToGrid w:val="0"/>
        <w:spacing w:line="480" w:lineRule="exact"/>
        <w:ind w:firstLine="750" w:firstLineChars="250"/>
        <w:textAlignment w:val="auto"/>
        <w:outlineLvl w:val="2"/>
        <w:rPr>
          <w:rFonts w:ascii="仿宋" w:hAnsi="仿宋" w:eastAsia="仿宋"/>
          <w:color w:val="auto"/>
          <w:kern w:val="0"/>
          <w:sz w:val="30"/>
          <w:szCs w:val="30"/>
        </w:rPr>
      </w:pPr>
      <w:r>
        <w:rPr>
          <w:rFonts w:hint="eastAsia" w:ascii="仿宋" w:hAnsi="仿宋" w:eastAsia="仿宋"/>
          <w:color w:val="auto"/>
          <w:kern w:val="0"/>
          <w:sz w:val="30"/>
          <w:szCs w:val="30"/>
        </w:rPr>
        <w:t>附件四：</w:t>
      </w:r>
      <w:r>
        <w:rPr>
          <w:rFonts w:hint="eastAsia" w:ascii="仿宋" w:hAnsi="仿宋" w:eastAsia="仿宋" w:cs="宋体"/>
          <w:color w:val="auto"/>
          <w:kern w:val="0"/>
          <w:sz w:val="30"/>
          <w:szCs w:val="30"/>
        </w:rPr>
        <w:t>单品单件</w:t>
      </w:r>
      <w:r>
        <w:rPr>
          <w:rFonts w:hint="eastAsia" w:ascii="仿宋" w:hAnsi="仿宋" w:eastAsia="仿宋" w:cs="宋体"/>
          <w:color w:val="auto"/>
          <w:kern w:val="0"/>
          <w:sz w:val="30"/>
          <w:szCs w:val="30"/>
          <w:u w:val="single"/>
        </w:rPr>
        <w:t xml:space="preserve"> 200 </w:t>
      </w:r>
      <w:r>
        <w:rPr>
          <w:rFonts w:hint="eastAsia" w:ascii="仿宋" w:hAnsi="仿宋" w:eastAsia="仿宋" w:cs="宋体"/>
          <w:color w:val="auto"/>
          <w:kern w:val="0"/>
          <w:sz w:val="30"/>
          <w:szCs w:val="30"/>
        </w:rPr>
        <w:t>元以下免费配件清单</w:t>
      </w:r>
    </w:p>
    <w:p w14:paraId="565EBB8C">
      <w:pPr>
        <w:keepNext w:val="0"/>
        <w:keepLines w:val="0"/>
        <w:pageBreakBefore w:val="0"/>
        <w:widowControl/>
        <w:kinsoku/>
        <w:wordWrap/>
        <w:overflowPunct/>
        <w:topLinePunct w:val="0"/>
        <w:bidi w:val="0"/>
        <w:snapToGrid w:val="0"/>
        <w:spacing w:line="480" w:lineRule="exact"/>
        <w:ind w:firstLine="750" w:firstLineChars="250"/>
        <w:textAlignment w:val="auto"/>
        <w:outlineLvl w:val="2"/>
        <w:rPr>
          <w:rFonts w:ascii="仿宋" w:hAnsi="仿宋" w:eastAsia="仿宋"/>
          <w:color w:val="auto"/>
          <w:kern w:val="0"/>
          <w:sz w:val="30"/>
          <w:szCs w:val="30"/>
        </w:rPr>
      </w:pPr>
      <w:r>
        <w:rPr>
          <w:rFonts w:hint="eastAsia" w:ascii="仿宋" w:hAnsi="仿宋" w:eastAsia="仿宋"/>
          <w:color w:val="auto"/>
          <w:kern w:val="0"/>
          <w:sz w:val="30"/>
          <w:szCs w:val="30"/>
        </w:rPr>
        <w:t>附件五：</w:t>
      </w:r>
      <w:r>
        <w:rPr>
          <w:rFonts w:hint="eastAsia" w:ascii="仿宋" w:hAnsi="仿宋" w:eastAsia="仿宋"/>
          <w:color w:val="auto"/>
          <w:kern w:val="0"/>
          <w:sz w:val="30"/>
          <w:szCs w:val="30"/>
          <w:u w:val="single"/>
        </w:rPr>
        <w:t xml:space="preserve">200 </w:t>
      </w:r>
      <w:r>
        <w:rPr>
          <w:rFonts w:hint="eastAsia" w:ascii="仿宋" w:hAnsi="仿宋" w:eastAsia="仿宋"/>
          <w:color w:val="auto"/>
          <w:kern w:val="0"/>
          <w:sz w:val="30"/>
          <w:szCs w:val="30"/>
        </w:rPr>
        <w:t>元以上付费材料清单</w:t>
      </w:r>
    </w:p>
    <w:p w14:paraId="0675BD4E">
      <w:pPr>
        <w:keepNext w:val="0"/>
        <w:keepLines w:val="0"/>
        <w:pageBreakBefore w:val="0"/>
        <w:widowControl/>
        <w:kinsoku/>
        <w:wordWrap/>
        <w:overflowPunct/>
        <w:topLinePunct w:val="0"/>
        <w:bidi w:val="0"/>
        <w:snapToGrid w:val="0"/>
        <w:spacing w:line="480" w:lineRule="exact"/>
        <w:ind w:firstLine="750" w:firstLineChars="250"/>
        <w:textAlignment w:val="auto"/>
        <w:outlineLvl w:val="2"/>
        <w:rPr>
          <w:rFonts w:ascii="仿宋" w:hAnsi="仿宋" w:eastAsia="仿宋"/>
          <w:color w:val="auto"/>
          <w:kern w:val="0"/>
          <w:sz w:val="30"/>
          <w:szCs w:val="30"/>
        </w:rPr>
      </w:pPr>
      <w:r>
        <w:rPr>
          <w:rFonts w:hint="eastAsia" w:ascii="仿宋" w:hAnsi="仿宋" w:eastAsia="仿宋"/>
          <w:color w:val="auto"/>
          <w:kern w:val="0"/>
          <w:sz w:val="30"/>
          <w:szCs w:val="30"/>
        </w:rPr>
        <w:t>附件六：季度履约评价表</w:t>
      </w:r>
    </w:p>
    <w:p w14:paraId="0B5CCDA1">
      <w:pPr>
        <w:keepNext w:val="0"/>
        <w:keepLines w:val="0"/>
        <w:pageBreakBefore w:val="0"/>
        <w:widowControl/>
        <w:kinsoku/>
        <w:wordWrap/>
        <w:overflowPunct/>
        <w:topLinePunct w:val="0"/>
        <w:bidi w:val="0"/>
        <w:snapToGrid w:val="0"/>
        <w:spacing w:line="480" w:lineRule="exact"/>
        <w:ind w:firstLine="750" w:firstLineChars="250"/>
        <w:textAlignment w:val="auto"/>
        <w:outlineLvl w:val="2"/>
        <w:rPr>
          <w:rFonts w:ascii="仿宋" w:hAnsi="仿宋" w:eastAsia="仿宋"/>
          <w:color w:val="auto"/>
          <w:kern w:val="0"/>
          <w:sz w:val="30"/>
          <w:szCs w:val="30"/>
        </w:rPr>
      </w:pPr>
      <w:r>
        <w:rPr>
          <w:rFonts w:hint="eastAsia" w:ascii="仿宋" w:hAnsi="仿宋" w:eastAsia="仿宋"/>
          <w:color w:val="auto"/>
          <w:kern w:val="0"/>
          <w:sz w:val="30"/>
          <w:szCs w:val="30"/>
        </w:rPr>
        <w:t>附件七：年度履约评价表</w:t>
      </w:r>
    </w:p>
    <w:p w14:paraId="0280FD9F">
      <w:pPr>
        <w:keepNext w:val="0"/>
        <w:keepLines w:val="0"/>
        <w:pageBreakBefore w:val="0"/>
        <w:tabs>
          <w:tab w:val="left" w:pos="405"/>
        </w:tabs>
        <w:kinsoku/>
        <w:wordWrap/>
        <w:overflowPunct/>
        <w:topLinePunct w:val="0"/>
        <w:bidi w:val="0"/>
        <w:spacing w:line="480" w:lineRule="exact"/>
        <w:ind w:left="105" w:leftChars="50"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附件八：公司合作方廉洁协议</w:t>
      </w:r>
    </w:p>
    <w:p w14:paraId="5BE24518">
      <w:pPr>
        <w:keepNext w:val="0"/>
        <w:keepLines w:val="0"/>
        <w:pageBreakBefore w:val="0"/>
        <w:tabs>
          <w:tab w:val="left" w:pos="405"/>
        </w:tabs>
        <w:kinsoku/>
        <w:wordWrap/>
        <w:overflowPunct/>
        <w:topLinePunct w:val="0"/>
        <w:bidi w:val="0"/>
        <w:spacing w:line="480" w:lineRule="exact"/>
        <w:ind w:left="105" w:leftChars="50"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附件九：阳光宣言</w:t>
      </w:r>
    </w:p>
    <w:p w14:paraId="19219CB8">
      <w:pPr>
        <w:keepNext w:val="0"/>
        <w:keepLines w:val="0"/>
        <w:pageBreakBefore w:val="0"/>
        <w:tabs>
          <w:tab w:val="left" w:pos="405"/>
        </w:tabs>
        <w:kinsoku/>
        <w:wordWrap/>
        <w:overflowPunct/>
        <w:topLinePunct w:val="0"/>
        <w:bidi w:val="0"/>
        <w:spacing w:line="480" w:lineRule="exact"/>
        <w:ind w:left="105" w:leftChars="50" w:firstLine="600" w:firstLineChars="200"/>
        <w:textAlignment w:val="auto"/>
        <w:rPr>
          <w:rFonts w:ascii="仿宋" w:hAnsi="仿宋" w:eastAsia="仿宋"/>
          <w:color w:val="auto"/>
          <w:kern w:val="0"/>
          <w:sz w:val="30"/>
          <w:szCs w:val="30"/>
        </w:rPr>
      </w:pPr>
      <w:r>
        <w:rPr>
          <w:rFonts w:hint="eastAsia" w:ascii="仿宋" w:hAnsi="仿宋" w:eastAsia="仿宋"/>
          <w:color w:val="auto"/>
          <w:kern w:val="0"/>
          <w:sz w:val="30"/>
          <w:szCs w:val="30"/>
        </w:rPr>
        <w:t>附件十：入场作业安全承诺书</w:t>
      </w:r>
    </w:p>
    <w:p w14:paraId="22B6B383">
      <w:pPr>
        <w:keepNext w:val="0"/>
        <w:keepLines w:val="0"/>
        <w:pageBreakBefore w:val="0"/>
        <w:tabs>
          <w:tab w:val="left" w:pos="405"/>
        </w:tabs>
        <w:kinsoku/>
        <w:wordWrap/>
        <w:overflowPunct/>
        <w:topLinePunct w:val="0"/>
        <w:bidi w:val="0"/>
        <w:spacing w:line="480" w:lineRule="exact"/>
        <w:ind w:left="405" w:hanging="405"/>
        <w:textAlignment w:val="auto"/>
        <w:rPr>
          <w:rFonts w:ascii="仿宋" w:hAnsi="仿宋" w:eastAsia="仿宋"/>
          <w:color w:val="auto"/>
          <w:kern w:val="0"/>
          <w:sz w:val="30"/>
          <w:szCs w:val="30"/>
        </w:rPr>
      </w:pPr>
      <w:r>
        <w:rPr>
          <w:rFonts w:hint="eastAsia" w:ascii="仿宋" w:hAnsi="仿宋" w:eastAsia="仿宋"/>
          <w:color w:val="auto"/>
          <w:kern w:val="0"/>
          <w:sz w:val="30"/>
          <w:szCs w:val="30"/>
        </w:rPr>
        <w:t xml:space="preserve">     （合同正文结束）</w:t>
      </w:r>
    </w:p>
    <w:p w14:paraId="543B054A">
      <w:pPr>
        <w:keepNext w:val="0"/>
        <w:keepLines w:val="0"/>
        <w:pageBreakBefore w:val="0"/>
        <w:widowControl/>
        <w:kinsoku/>
        <w:wordWrap/>
        <w:overflowPunct/>
        <w:topLinePunct w:val="0"/>
        <w:bidi w:val="0"/>
        <w:snapToGrid w:val="0"/>
        <w:spacing w:line="480" w:lineRule="exact"/>
        <w:textAlignment w:val="auto"/>
        <w:rPr>
          <w:rFonts w:ascii="仿宋" w:hAnsi="仿宋" w:eastAsia="仿宋"/>
          <w:color w:val="auto"/>
          <w:kern w:val="0"/>
          <w:sz w:val="30"/>
          <w:szCs w:val="30"/>
        </w:rPr>
      </w:pPr>
    </w:p>
    <w:p w14:paraId="2E6AEB60">
      <w:pPr>
        <w:pStyle w:val="2"/>
      </w:pPr>
    </w:p>
    <w:p w14:paraId="54BD6471">
      <w:pPr>
        <w:keepNext w:val="0"/>
        <w:keepLines w:val="0"/>
        <w:pageBreakBefore w:val="0"/>
        <w:widowControl/>
        <w:kinsoku/>
        <w:wordWrap/>
        <w:overflowPunct/>
        <w:topLinePunct w:val="0"/>
        <w:bidi w:val="0"/>
        <w:snapToGrid w:val="0"/>
        <w:spacing w:line="480" w:lineRule="exact"/>
        <w:textAlignment w:val="auto"/>
        <w:rPr>
          <w:rFonts w:ascii="仿宋" w:hAnsi="仿宋" w:eastAsia="仿宋"/>
          <w:color w:val="auto"/>
          <w:kern w:val="0"/>
          <w:sz w:val="30"/>
          <w:szCs w:val="30"/>
        </w:rPr>
      </w:pPr>
      <w:r>
        <w:rPr>
          <w:rFonts w:hint="eastAsia" w:ascii="仿宋" w:hAnsi="仿宋" w:eastAsia="仿宋"/>
          <w:color w:val="auto"/>
          <w:kern w:val="0"/>
          <w:sz w:val="30"/>
          <w:szCs w:val="30"/>
        </w:rPr>
        <w:t xml:space="preserve">甲方（盖章）：                            乙方（盖章）：    </w:t>
      </w:r>
    </w:p>
    <w:p w14:paraId="0DBF64B1">
      <w:pPr>
        <w:keepNext w:val="0"/>
        <w:keepLines w:val="0"/>
        <w:pageBreakBefore w:val="0"/>
        <w:widowControl/>
        <w:kinsoku/>
        <w:wordWrap/>
        <w:overflowPunct/>
        <w:topLinePunct w:val="0"/>
        <w:bidi w:val="0"/>
        <w:snapToGrid w:val="0"/>
        <w:spacing w:line="480" w:lineRule="exact"/>
        <w:textAlignment w:val="auto"/>
        <w:rPr>
          <w:rFonts w:ascii="仿宋" w:hAnsi="仿宋" w:eastAsia="仿宋"/>
          <w:color w:val="auto"/>
          <w:kern w:val="0"/>
          <w:sz w:val="30"/>
          <w:szCs w:val="30"/>
        </w:rPr>
      </w:pPr>
      <w:r>
        <w:rPr>
          <w:rFonts w:hint="eastAsia" w:ascii="仿宋" w:hAnsi="仿宋" w:eastAsia="仿宋"/>
          <w:color w:val="auto"/>
          <w:kern w:val="0"/>
          <w:sz w:val="30"/>
          <w:szCs w:val="30"/>
        </w:rPr>
        <w:t xml:space="preserve">授权代表（签名）：                        授权代表（签名）：                                                                 </w:t>
      </w:r>
    </w:p>
    <w:p w14:paraId="73C6CCFC">
      <w:pPr>
        <w:keepNext w:val="0"/>
        <w:keepLines w:val="0"/>
        <w:pageBreakBefore w:val="0"/>
        <w:widowControl/>
        <w:kinsoku/>
        <w:wordWrap/>
        <w:overflowPunct/>
        <w:topLinePunct w:val="0"/>
        <w:bidi w:val="0"/>
        <w:snapToGrid w:val="0"/>
        <w:spacing w:line="480" w:lineRule="exact"/>
        <w:textAlignment w:val="auto"/>
        <w:rPr>
          <w:rFonts w:ascii="仿宋" w:hAnsi="仿宋" w:eastAsia="仿宋"/>
          <w:color w:val="auto"/>
          <w:kern w:val="0"/>
          <w:sz w:val="30"/>
          <w:szCs w:val="30"/>
        </w:rPr>
      </w:pPr>
      <w:r>
        <w:rPr>
          <w:rFonts w:hint="eastAsia" w:ascii="仿宋" w:hAnsi="仿宋" w:eastAsia="仿宋"/>
          <w:color w:val="auto"/>
          <w:kern w:val="0"/>
          <w:sz w:val="30"/>
          <w:szCs w:val="30"/>
        </w:rPr>
        <w:t xml:space="preserve">电  话：                                  电  话： </w:t>
      </w:r>
    </w:p>
    <w:p w14:paraId="66210935">
      <w:pPr>
        <w:keepNext w:val="0"/>
        <w:keepLines w:val="0"/>
        <w:pageBreakBefore w:val="0"/>
        <w:widowControl/>
        <w:kinsoku/>
        <w:wordWrap/>
        <w:overflowPunct/>
        <w:topLinePunct w:val="0"/>
        <w:bidi w:val="0"/>
        <w:snapToGrid w:val="0"/>
        <w:spacing w:line="480" w:lineRule="exact"/>
        <w:textAlignment w:val="auto"/>
        <w:rPr>
          <w:rFonts w:ascii="仿宋" w:hAnsi="仿宋" w:eastAsia="仿宋"/>
          <w:color w:val="auto"/>
          <w:kern w:val="0"/>
          <w:sz w:val="30"/>
          <w:szCs w:val="30"/>
        </w:rPr>
      </w:pPr>
      <w:r>
        <w:rPr>
          <w:rFonts w:hint="eastAsia" w:ascii="仿宋" w:hAnsi="仿宋" w:eastAsia="仿宋"/>
          <w:color w:val="auto"/>
          <w:kern w:val="0"/>
          <w:sz w:val="30"/>
          <w:szCs w:val="30"/>
        </w:rPr>
        <w:t>年   月  日                              年   月    日</w:t>
      </w:r>
    </w:p>
    <w:p w14:paraId="7E564300">
      <w:pPr>
        <w:snapToGrid w:val="0"/>
        <w:spacing w:line="520" w:lineRule="exact"/>
        <w:rPr>
          <w:rFonts w:ascii="仿宋" w:hAnsi="仿宋" w:eastAsia="仿宋"/>
          <w:b/>
          <w:bCs/>
          <w:color w:val="auto"/>
          <w:sz w:val="30"/>
          <w:szCs w:val="30"/>
        </w:rPr>
      </w:pPr>
      <w:r>
        <w:rPr>
          <w:rFonts w:ascii="仿宋" w:hAnsi="仿宋" w:eastAsia="仿宋"/>
          <w:b/>
          <w:bCs/>
          <w:color w:val="auto"/>
          <w:sz w:val="30"/>
          <w:szCs w:val="30"/>
        </w:rPr>
        <w:br w:type="page"/>
      </w:r>
      <w:r>
        <w:rPr>
          <w:rFonts w:hint="eastAsia" w:ascii="仿宋" w:hAnsi="仿宋" w:eastAsia="仿宋"/>
          <w:b/>
          <w:bCs/>
          <w:color w:val="auto"/>
          <w:sz w:val="30"/>
          <w:szCs w:val="30"/>
        </w:rPr>
        <w:t>附件一：维护保养标准</w:t>
      </w:r>
    </w:p>
    <w:p w14:paraId="769CD0A4">
      <w:pPr>
        <w:spacing w:line="520" w:lineRule="exact"/>
        <w:ind w:firstLine="600" w:firstLineChars="200"/>
        <w:jc w:val="center"/>
        <w:rPr>
          <w:rFonts w:ascii="仿宋" w:hAnsi="仿宋" w:eastAsia="仿宋"/>
          <w:color w:val="auto"/>
          <w:sz w:val="30"/>
          <w:szCs w:val="30"/>
        </w:rPr>
      </w:pPr>
      <w:r>
        <w:rPr>
          <w:rFonts w:hint="eastAsia" w:ascii="仿宋" w:hAnsi="仿宋" w:eastAsia="仿宋"/>
          <w:color w:val="auto"/>
          <w:sz w:val="30"/>
          <w:szCs w:val="30"/>
        </w:rPr>
        <w:t>维护保养标准</w:t>
      </w:r>
    </w:p>
    <w:p w14:paraId="119448A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一、巡查</w:t>
      </w:r>
    </w:p>
    <w:p w14:paraId="59E77E7E">
      <w:pPr>
        <w:spacing w:line="520" w:lineRule="exact"/>
        <w:ind w:firstLine="600" w:firstLineChars="200"/>
        <w:rPr>
          <w:rFonts w:ascii="仿宋" w:hAnsi="仿宋" w:eastAsia="仿宋"/>
          <w:bCs/>
          <w:color w:val="auto"/>
          <w:sz w:val="30"/>
          <w:szCs w:val="30"/>
        </w:rPr>
      </w:pPr>
      <w:r>
        <w:rPr>
          <w:rFonts w:hint="eastAsia" w:ascii="仿宋" w:hAnsi="仿宋" w:eastAsia="仿宋"/>
          <w:bCs/>
          <w:color w:val="auto"/>
          <w:sz w:val="30"/>
          <w:szCs w:val="30"/>
        </w:rPr>
        <w:t>（一） 一般要求</w:t>
      </w:r>
    </w:p>
    <w:p w14:paraId="6CA5DB9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1、甲方管理红线范围内的消防设施设备的巡查由外委消防维保单位（乙方）负责，甲方各物业服务中心服务、秩序人员有义务协助日常巡查，发现问题及时报外委消防单位（乙方）处理。</w:t>
      </w:r>
    </w:p>
    <w:p w14:paraId="52464EB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2、从事消防设施设备巡查的人员，应通过消防行业特有工种职业技能鉴定，持有初级技能以上等级的职业资格证书。</w:t>
      </w:r>
    </w:p>
    <w:p w14:paraId="7C247C0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3、消防设施设备巡查应明确各类消防设施设备的巡查部位、频次和内容；巡查时应填写《消防设施设备巡查记录表》；巡查时发现故障，应按本指引3要求处理。</w:t>
      </w:r>
    </w:p>
    <w:p w14:paraId="3EB152E4">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4、消防设施设备巡查频次应满足下列要求：</w:t>
      </w:r>
    </w:p>
    <w:p w14:paraId="7BDEF17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(1)基础、通用类每月至少巡查一次。</w:t>
      </w:r>
    </w:p>
    <w:p w14:paraId="3D33665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(2)火灾报警探测器和手动报警按钮的报警功能的检查数量每月不少于总数的10%；年度覆盖全部设施。</w:t>
      </w:r>
    </w:p>
    <w:p w14:paraId="46FDF04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(3)末端试水装置放水检查数量每月不少于总数量的10%；年度覆盖全部设施。</w:t>
      </w:r>
    </w:p>
    <w:p w14:paraId="64577DAB">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(4)消火栓启泵按钮，系统功能检查，检查数量每月不少于总数量的10%；年度覆盖全部设施。</w:t>
      </w:r>
    </w:p>
    <w:p w14:paraId="49F7A334">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(5)灭火器检查，检查数量每月不少于总数量的10%；年度覆盖全部设施。</w:t>
      </w:r>
    </w:p>
    <w:p w14:paraId="3892AB69">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(6)其他设备功能检查每月必须检查一次。</w:t>
      </w:r>
    </w:p>
    <w:p w14:paraId="1F5E657F">
      <w:pPr>
        <w:spacing w:before="156" w:beforeLines="50" w:after="156" w:afterLines="50" w:line="520" w:lineRule="exact"/>
        <w:rPr>
          <w:rFonts w:ascii="仿宋" w:hAnsi="仿宋" w:eastAsia="仿宋"/>
          <w:bCs/>
          <w:color w:val="auto"/>
          <w:sz w:val="30"/>
          <w:szCs w:val="30"/>
        </w:rPr>
      </w:pPr>
    </w:p>
    <w:p w14:paraId="57D9D8F4">
      <w:pPr>
        <w:spacing w:before="156" w:beforeLines="50" w:after="156" w:afterLines="50" w:line="520" w:lineRule="exact"/>
        <w:rPr>
          <w:rFonts w:ascii="仿宋" w:hAnsi="仿宋" w:eastAsia="仿宋"/>
          <w:bCs/>
          <w:color w:val="auto"/>
          <w:sz w:val="30"/>
          <w:szCs w:val="30"/>
        </w:rPr>
      </w:pPr>
    </w:p>
    <w:p w14:paraId="579F6F19">
      <w:pPr>
        <w:spacing w:before="156" w:beforeLines="50" w:after="156" w:afterLines="50" w:line="520" w:lineRule="exact"/>
        <w:rPr>
          <w:rFonts w:ascii="仿宋" w:hAnsi="仿宋" w:eastAsia="仿宋"/>
          <w:bCs/>
          <w:color w:val="auto"/>
          <w:sz w:val="30"/>
          <w:szCs w:val="30"/>
        </w:rPr>
      </w:pPr>
      <w:r>
        <w:rPr>
          <w:rFonts w:hint="eastAsia" w:ascii="仿宋" w:hAnsi="仿宋" w:eastAsia="仿宋"/>
          <w:bCs/>
          <w:color w:val="auto"/>
          <w:sz w:val="30"/>
          <w:szCs w:val="30"/>
        </w:rPr>
        <w:t>（二）巡查内容</w:t>
      </w:r>
    </w:p>
    <w:tbl>
      <w:tblPr>
        <w:tblStyle w:val="10"/>
        <w:tblW w:w="9015" w:type="dxa"/>
        <w:tblInd w:w="-22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70"/>
        <w:gridCol w:w="1485"/>
        <w:gridCol w:w="6960"/>
      </w:tblGrid>
      <w:tr w14:paraId="04C8C8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300C7B88">
            <w:pPr>
              <w:spacing w:line="520" w:lineRule="exact"/>
              <w:jc w:val="center"/>
              <w:rPr>
                <w:rFonts w:ascii="仿宋" w:hAnsi="仿宋" w:eastAsia="仿宋"/>
                <w:color w:val="auto"/>
                <w:sz w:val="30"/>
                <w:szCs w:val="30"/>
              </w:rPr>
            </w:pPr>
            <w:r>
              <w:rPr>
                <w:rFonts w:hint="eastAsia" w:ascii="仿宋" w:hAnsi="仿宋" w:eastAsia="仿宋"/>
                <w:color w:val="auto"/>
                <w:sz w:val="30"/>
                <w:szCs w:val="30"/>
              </w:rPr>
              <w:t>序号</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0ED79F34">
            <w:pPr>
              <w:spacing w:line="520" w:lineRule="exact"/>
              <w:jc w:val="center"/>
              <w:rPr>
                <w:rFonts w:ascii="仿宋" w:hAnsi="仿宋" w:eastAsia="仿宋"/>
                <w:color w:val="auto"/>
                <w:sz w:val="30"/>
                <w:szCs w:val="30"/>
              </w:rPr>
            </w:pPr>
            <w:r>
              <w:rPr>
                <w:rFonts w:hint="eastAsia" w:ascii="仿宋" w:hAnsi="仿宋" w:eastAsia="仿宋"/>
                <w:color w:val="auto"/>
                <w:sz w:val="30"/>
                <w:szCs w:val="30"/>
              </w:rPr>
              <w:t>巡查项目</w:t>
            </w:r>
          </w:p>
        </w:tc>
        <w:tc>
          <w:tcPr>
            <w:tcW w:w="6960" w:type="dxa"/>
            <w:vMerge w:val="restart"/>
            <w:tcBorders>
              <w:top w:val="single" w:color="auto" w:sz="6" w:space="0"/>
              <w:left w:val="single" w:color="auto" w:sz="6" w:space="0"/>
              <w:bottom w:val="single" w:color="auto" w:sz="6" w:space="0"/>
              <w:right w:val="single" w:color="auto" w:sz="6" w:space="0"/>
            </w:tcBorders>
            <w:vAlign w:val="center"/>
          </w:tcPr>
          <w:p w14:paraId="1D11DE16">
            <w:pPr>
              <w:spacing w:line="520" w:lineRule="exact"/>
              <w:jc w:val="center"/>
              <w:rPr>
                <w:rFonts w:ascii="仿宋" w:hAnsi="仿宋" w:eastAsia="仿宋"/>
                <w:color w:val="auto"/>
                <w:sz w:val="30"/>
                <w:szCs w:val="30"/>
              </w:rPr>
            </w:pPr>
            <w:r>
              <w:rPr>
                <w:rFonts w:hint="eastAsia" w:ascii="仿宋" w:hAnsi="仿宋" w:eastAsia="仿宋"/>
                <w:color w:val="auto"/>
                <w:sz w:val="30"/>
                <w:szCs w:val="30"/>
              </w:rPr>
              <w:t>巡查要求</w:t>
            </w:r>
          </w:p>
        </w:tc>
      </w:tr>
      <w:tr w14:paraId="61CC83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066B3904">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4DA0117A">
            <w:pPr>
              <w:widowControl/>
              <w:spacing w:line="520" w:lineRule="exact"/>
              <w:jc w:val="left"/>
              <w:rPr>
                <w:rFonts w:ascii="仿宋" w:hAnsi="仿宋" w:eastAsia="仿宋"/>
                <w:color w:val="auto"/>
                <w:sz w:val="30"/>
                <w:szCs w:val="30"/>
              </w:rPr>
            </w:pPr>
          </w:p>
        </w:tc>
        <w:tc>
          <w:tcPr>
            <w:tcW w:w="6960" w:type="dxa"/>
            <w:vMerge w:val="continue"/>
            <w:tcBorders>
              <w:top w:val="single" w:color="auto" w:sz="6" w:space="0"/>
              <w:left w:val="single" w:color="auto" w:sz="6" w:space="0"/>
              <w:bottom w:val="single" w:color="auto" w:sz="6" w:space="0"/>
              <w:right w:val="single" w:color="auto" w:sz="6" w:space="0"/>
            </w:tcBorders>
            <w:vAlign w:val="center"/>
          </w:tcPr>
          <w:p w14:paraId="760AF693">
            <w:pPr>
              <w:widowControl/>
              <w:spacing w:line="520" w:lineRule="exact"/>
              <w:jc w:val="left"/>
              <w:rPr>
                <w:rFonts w:ascii="仿宋" w:hAnsi="仿宋" w:eastAsia="仿宋"/>
                <w:color w:val="auto"/>
                <w:sz w:val="30"/>
                <w:szCs w:val="30"/>
              </w:rPr>
            </w:pPr>
          </w:p>
        </w:tc>
      </w:tr>
      <w:tr w14:paraId="4CA622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21"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415284AF">
            <w:pPr>
              <w:spacing w:line="520" w:lineRule="exact"/>
              <w:jc w:val="center"/>
              <w:rPr>
                <w:rFonts w:ascii="仿宋" w:hAnsi="仿宋" w:eastAsia="仿宋"/>
                <w:color w:val="auto"/>
                <w:sz w:val="30"/>
                <w:szCs w:val="30"/>
              </w:rPr>
            </w:pPr>
            <w:r>
              <w:rPr>
                <w:rFonts w:hint="eastAsia" w:ascii="仿宋" w:hAnsi="仿宋" w:eastAsia="仿宋"/>
                <w:color w:val="auto"/>
                <w:sz w:val="30"/>
                <w:szCs w:val="30"/>
              </w:rPr>
              <w:t>1</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3667FC2C">
            <w:pPr>
              <w:spacing w:line="520" w:lineRule="exact"/>
              <w:jc w:val="center"/>
              <w:rPr>
                <w:rFonts w:ascii="仿宋" w:hAnsi="仿宋" w:eastAsia="仿宋"/>
                <w:color w:val="auto"/>
                <w:sz w:val="30"/>
                <w:szCs w:val="30"/>
              </w:rPr>
            </w:pPr>
            <w:r>
              <w:rPr>
                <w:rFonts w:hint="eastAsia" w:ascii="仿宋" w:hAnsi="仿宋" w:eastAsia="仿宋"/>
                <w:color w:val="auto"/>
                <w:sz w:val="30"/>
                <w:szCs w:val="30"/>
              </w:rPr>
              <w:t>消防供配电设施</w:t>
            </w:r>
          </w:p>
        </w:tc>
        <w:tc>
          <w:tcPr>
            <w:tcW w:w="6960" w:type="dxa"/>
            <w:tcBorders>
              <w:top w:val="single" w:color="auto" w:sz="6" w:space="0"/>
              <w:left w:val="single" w:color="auto" w:sz="6" w:space="0"/>
              <w:bottom w:val="single" w:color="auto" w:sz="6" w:space="0"/>
              <w:right w:val="single" w:color="auto" w:sz="6" w:space="0"/>
            </w:tcBorders>
            <w:vAlign w:val="center"/>
          </w:tcPr>
          <w:p w14:paraId="60565873">
            <w:pPr>
              <w:spacing w:line="520" w:lineRule="exact"/>
              <w:rPr>
                <w:rFonts w:ascii="仿宋" w:hAnsi="仿宋" w:eastAsia="仿宋"/>
                <w:color w:val="auto"/>
                <w:sz w:val="30"/>
                <w:szCs w:val="30"/>
              </w:rPr>
            </w:pPr>
            <w:r>
              <w:rPr>
                <w:rFonts w:hint="eastAsia" w:ascii="仿宋" w:hAnsi="仿宋" w:eastAsia="仿宋"/>
                <w:color w:val="auto"/>
                <w:sz w:val="30"/>
                <w:szCs w:val="30"/>
              </w:rPr>
              <w:t>消防电源主电源、备用电源工作正常</w:t>
            </w:r>
          </w:p>
        </w:tc>
      </w:tr>
      <w:tr w14:paraId="3143B1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12980377">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61030D89">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7EA12BFF">
            <w:pPr>
              <w:spacing w:line="520" w:lineRule="exact"/>
              <w:rPr>
                <w:rFonts w:ascii="仿宋" w:hAnsi="仿宋" w:eastAsia="仿宋"/>
                <w:color w:val="auto"/>
                <w:sz w:val="30"/>
                <w:szCs w:val="30"/>
              </w:rPr>
            </w:pPr>
            <w:r>
              <w:rPr>
                <w:rFonts w:hint="eastAsia" w:ascii="仿宋" w:hAnsi="仿宋" w:eastAsia="仿宋"/>
                <w:color w:val="auto"/>
                <w:sz w:val="30"/>
                <w:szCs w:val="30"/>
              </w:rPr>
              <w:t>发电机启动装置外观良好，工作正常、发电机燃料储量在4—8小时、储油间环境通风正常</w:t>
            </w:r>
          </w:p>
        </w:tc>
      </w:tr>
      <w:tr w14:paraId="3FFDCA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5F5C6343">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045E21B5">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7F25AAB7">
            <w:pPr>
              <w:spacing w:line="520" w:lineRule="exact"/>
              <w:rPr>
                <w:rFonts w:ascii="仿宋" w:hAnsi="仿宋" w:eastAsia="仿宋"/>
                <w:color w:val="auto"/>
                <w:sz w:val="30"/>
                <w:szCs w:val="30"/>
              </w:rPr>
            </w:pPr>
            <w:r>
              <w:rPr>
                <w:rFonts w:hint="eastAsia" w:ascii="仿宋" w:hAnsi="仿宋" w:eastAsia="仿宋"/>
                <w:color w:val="auto"/>
                <w:sz w:val="30"/>
                <w:szCs w:val="30"/>
              </w:rPr>
              <w:t>消防应急柜工作正常</w:t>
            </w:r>
          </w:p>
        </w:tc>
      </w:tr>
      <w:tr w14:paraId="62D1FE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1A17D247">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056D5EB9">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09336915">
            <w:pPr>
              <w:spacing w:line="520" w:lineRule="exact"/>
              <w:rPr>
                <w:rFonts w:ascii="仿宋" w:hAnsi="仿宋" w:eastAsia="仿宋"/>
                <w:color w:val="auto"/>
                <w:sz w:val="30"/>
                <w:szCs w:val="30"/>
              </w:rPr>
            </w:pPr>
            <w:r>
              <w:rPr>
                <w:rFonts w:hint="eastAsia" w:ascii="仿宋" w:hAnsi="仿宋" w:eastAsia="仿宋"/>
                <w:color w:val="auto"/>
                <w:sz w:val="30"/>
                <w:szCs w:val="30"/>
              </w:rPr>
              <w:t>消防设备末端配电箱切换装置工作正常</w:t>
            </w:r>
          </w:p>
        </w:tc>
      </w:tr>
      <w:tr w14:paraId="76C37C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3"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324FECEF">
            <w:pPr>
              <w:spacing w:line="520" w:lineRule="exact"/>
              <w:jc w:val="center"/>
              <w:rPr>
                <w:rFonts w:ascii="仿宋" w:hAnsi="仿宋" w:eastAsia="仿宋"/>
                <w:color w:val="auto"/>
                <w:sz w:val="30"/>
                <w:szCs w:val="30"/>
              </w:rPr>
            </w:pPr>
            <w:r>
              <w:rPr>
                <w:rFonts w:hint="eastAsia" w:ascii="仿宋" w:hAnsi="仿宋" w:eastAsia="仿宋"/>
                <w:color w:val="auto"/>
                <w:sz w:val="30"/>
                <w:szCs w:val="30"/>
              </w:rPr>
              <w:t>2</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321A0336">
            <w:pPr>
              <w:spacing w:line="520" w:lineRule="exact"/>
              <w:jc w:val="center"/>
              <w:rPr>
                <w:rFonts w:ascii="仿宋" w:hAnsi="仿宋" w:eastAsia="仿宋"/>
                <w:color w:val="auto"/>
                <w:sz w:val="30"/>
                <w:szCs w:val="30"/>
              </w:rPr>
            </w:pPr>
            <w:r>
              <w:rPr>
                <w:rFonts w:hint="eastAsia" w:ascii="仿宋" w:hAnsi="仿宋" w:eastAsia="仿宋"/>
                <w:color w:val="auto"/>
                <w:sz w:val="30"/>
                <w:szCs w:val="30"/>
              </w:rPr>
              <w:t>火灾自动报警</w:t>
            </w:r>
          </w:p>
          <w:p w14:paraId="784A4CEE">
            <w:pPr>
              <w:spacing w:line="520" w:lineRule="exact"/>
              <w:jc w:val="center"/>
              <w:rPr>
                <w:rFonts w:ascii="仿宋" w:hAnsi="仿宋" w:eastAsia="仿宋"/>
                <w:color w:val="auto"/>
                <w:sz w:val="30"/>
                <w:szCs w:val="30"/>
              </w:rPr>
            </w:pPr>
            <w:r>
              <w:rPr>
                <w:rFonts w:hint="eastAsia" w:ascii="仿宋" w:hAnsi="仿宋" w:eastAsia="仿宋"/>
                <w:color w:val="auto"/>
                <w:sz w:val="30"/>
                <w:szCs w:val="30"/>
              </w:rPr>
              <w:t>系统</w:t>
            </w:r>
          </w:p>
        </w:tc>
        <w:tc>
          <w:tcPr>
            <w:tcW w:w="6960" w:type="dxa"/>
            <w:tcBorders>
              <w:top w:val="single" w:color="auto" w:sz="6" w:space="0"/>
              <w:left w:val="single" w:color="auto" w:sz="6" w:space="0"/>
              <w:bottom w:val="single" w:color="auto" w:sz="6" w:space="0"/>
              <w:right w:val="single" w:color="auto" w:sz="6" w:space="0"/>
            </w:tcBorders>
            <w:vAlign w:val="center"/>
          </w:tcPr>
          <w:p w14:paraId="05775A09">
            <w:pPr>
              <w:spacing w:line="520" w:lineRule="exact"/>
              <w:rPr>
                <w:rFonts w:ascii="仿宋" w:hAnsi="仿宋" w:eastAsia="仿宋"/>
                <w:color w:val="auto"/>
                <w:sz w:val="30"/>
                <w:szCs w:val="30"/>
              </w:rPr>
            </w:pPr>
            <w:r>
              <w:rPr>
                <w:rFonts w:hint="eastAsia" w:ascii="仿宋" w:hAnsi="仿宋" w:eastAsia="仿宋"/>
                <w:color w:val="auto"/>
                <w:sz w:val="30"/>
                <w:szCs w:val="30"/>
              </w:rPr>
              <w:t>火灾探测器、手动报警按钮、信号输入模块、输出模块外观良好，运行正常</w:t>
            </w:r>
          </w:p>
        </w:tc>
      </w:tr>
      <w:tr w14:paraId="5272B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1C10D3EF">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22684AF5">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29D0B3D1">
            <w:pPr>
              <w:spacing w:line="520" w:lineRule="exact"/>
              <w:rPr>
                <w:rFonts w:ascii="仿宋" w:hAnsi="仿宋" w:eastAsia="仿宋"/>
                <w:color w:val="auto"/>
                <w:sz w:val="30"/>
                <w:szCs w:val="30"/>
              </w:rPr>
            </w:pPr>
            <w:r>
              <w:rPr>
                <w:rFonts w:hint="eastAsia" w:ascii="仿宋" w:hAnsi="仿宋" w:eastAsia="仿宋"/>
                <w:color w:val="auto"/>
                <w:sz w:val="30"/>
                <w:szCs w:val="30"/>
              </w:rPr>
              <w:t>火灾报警控制器、火灾显示器、CRT图形显示器运行正常</w:t>
            </w:r>
          </w:p>
        </w:tc>
      </w:tr>
      <w:tr w14:paraId="15E603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11498250">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0EBCDFAB">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15FDF18D">
            <w:pPr>
              <w:spacing w:line="520" w:lineRule="exact"/>
              <w:rPr>
                <w:rFonts w:ascii="仿宋" w:hAnsi="仿宋" w:eastAsia="仿宋"/>
                <w:color w:val="auto"/>
                <w:sz w:val="30"/>
                <w:szCs w:val="30"/>
              </w:rPr>
            </w:pPr>
            <w:r>
              <w:rPr>
                <w:rFonts w:hint="eastAsia" w:ascii="仿宋" w:hAnsi="仿宋" w:eastAsia="仿宋"/>
                <w:color w:val="auto"/>
                <w:sz w:val="30"/>
                <w:szCs w:val="30"/>
              </w:rPr>
              <w:t>消防联动控制器外观及运行正常</w:t>
            </w:r>
          </w:p>
        </w:tc>
      </w:tr>
      <w:tr w14:paraId="15357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5D7C441D">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7F248DAA">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0F7BF725">
            <w:pPr>
              <w:spacing w:line="520" w:lineRule="exact"/>
              <w:rPr>
                <w:rFonts w:ascii="仿宋" w:hAnsi="仿宋" w:eastAsia="仿宋"/>
                <w:color w:val="auto"/>
                <w:sz w:val="30"/>
                <w:szCs w:val="30"/>
              </w:rPr>
            </w:pPr>
            <w:r>
              <w:rPr>
                <w:rFonts w:hint="eastAsia" w:ascii="仿宋" w:hAnsi="仿宋" w:eastAsia="仿宋"/>
                <w:color w:val="auto"/>
                <w:sz w:val="30"/>
                <w:szCs w:val="30"/>
              </w:rPr>
              <w:t>火灾报警装置外观良好，运行正常</w:t>
            </w:r>
          </w:p>
        </w:tc>
      </w:tr>
      <w:tr w14:paraId="74DA85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1FBC2DD1">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22DB47CF">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1DB76492">
            <w:pPr>
              <w:spacing w:line="520" w:lineRule="exact"/>
              <w:rPr>
                <w:rFonts w:ascii="仿宋" w:hAnsi="仿宋" w:eastAsia="仿宋"/>
                <w:color w:val="auto"/>
                <w:sz w:val="30"/>
                <w:szCs w:val="30"/>
              </w:rPr>
            </w:pPr>
            <w:r>
              <w:rPr>
                <w:rFonts w:hint="eastAsia" w:ascii="仿宋" w:hAnsi="仿宋" w:eastAsia="仿宋"/>
                <w:color w:val="auto"/>
                <w:sz w:val="30"/>
                <w:szCs w:val="30"/>
              </w:rPr>
              <w:t>建筑消防设施远程监控、信息显示、信息传输装置外观良好，运行正常</w:t>
            </w:r>
          </w:p>
        </w:tc>
      </w:tr>
      <w:tr w14:paraId="3F998F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16F0C298">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09710A7E">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099B7A21">
            <w:pPr>
              <w:spacing w:line="520" w:lineRule="exact"/>
              <w:rPr>
                <w:rFonts w:ascii="仿宋" w:hAnsi="仿宋" w:eastAsia="仿宋"/>
                <w:color w:val="auto"/>
                <w:sz w:val="30"/>
                <w:szCs w:val="30"/>
              </w:rPr>
            </w:pPr>
            <w:r>
              <w:rPr>
                <w:rFonts w:hint="eastAsia" w:ascii="仿宋" w:hAnsi="仿宋" w:eastAsia="仿宋"/>
                <w:color w:val="auto"/>
                <w:sz w:val="30"/>
                <w:szCs w:val="30"/>
              </w:rPr>
              <w:t>系统接地装置外观良好</w:t>
            </w:r>
          </w:p>
        </w:tc>
      </w:tr>
      <w:tr w14:paraId="236BE2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3"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2D36FD7B">
            <w:pPr>
              <w:spacing w:line="520" w:lineRule="exact"/>
              <w:jc w:val="center"/>
              <w:rPr>
                <w:rFonts w:ascii="仿宋" w:hAnsi="仿宋" w:eastAsia="仿宋"/>
                <w:color w:val="auto"/>
                <w:sz w:val="30"/>
                <w:szCs w:val="30"/>
              </w:rPr>
            </w:pPr>
            <w:r>
              <w:rPr>
                <w:rFonts w:hint="eastAsia" w:ascii="仿宋" w:hAnsi="仿宋" w:eastAsia="仿宋"/>
                <w:color w:val="auto"/>
                <w:sz w:val="30"/>
                <w:szCs w:val="30"/>
              </w:rPr>
              <w:t>3</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055DAEAB">
            <w:pPr>
              <w:spacing w:line="520" w:lineRule="exact"/>
              <w:jc w:val="center"/>
              <w:rPr>
                <w:rFonts w:ascii="仿宋" w:hAnsi="仿宋" w:eastAsia="仿宋"/>
                <w:color w:val="auto"/>
                <w:sz w:val="30"/>
                <w:szCs w:val="30"/>
              </w:rPr>
            </w:pPr>
            <w:r>
              <w:rPr>
                <w:rFonts w:hint="eastAsia" w:ascii="仿宋" w:hAnsi="仿宋" w:eastAsia="仿宋"/>
                <w:color w:val="auto"/>
                <w:sz w:val="30"/>
                <w:szCs w:val="30"/>
              </w:rPr>
              <w:t>电气火灾监控</w:t>
            </w:r>
          </w:p>
          <w:p w14:paraId="17B3318F">
            <w:pPr>
              <w:spacing w:line="520" w:lineRule="exact"/>
              <w:jc w:val="center"/>
              <w:rPr>
                <w:rFonts w:ascii="仿宋" w:hAnsi="仿宋" w:eastAsia="仿宋"/>
                <w:color w:val="auto"/>
                <w:sz w:val="30"/>
                <w:szCs w:val="30"/>
              </w:rPr>
            </w:pPr>
            <w:r>
              <w:rPr>
                <w:rFonts w:hint="eastAsia" w:ascii="仿宋" w:hAnsi="仿宋" w:eastAsia="仿宋"/>
                <w:color w:val="auto"/>
                <w:sz w:val="30"/>
                <w:szCs w:val="30"/>
              </w:rPr>
              <w:t>系统</w:t>
            </w:r>
          </w:p>
        </w:tc>
        <w:tc>
          <w:tcPr>
            <w:tcW w:w="6960" w:type="dxa"/>
            <w:tcBorders>
              <w:top w:val="single" w:color="auto" w:sz="6" w:space="0"/>
              <w:left w:val="single" w:color="auto" w:sz="6" w:space="0"/>
              <w:bottom w:val="single" w:color="auto" w:sz="6" w:space="0"/>
              <w:right w:val="single" w:color="auto" w:sz="6" w:space="0"/>
            </w:tcBorders>
            <w:vAlign w:val="center"/>
          </w:tcPr>
          <w:p w14:paraId="01047800">
            <w:pPr>
              <w:spacing w:line="520" w:lineRule="exact"/>
              <w:rPr>
                <w:rFonts w:ascii="仿宋" w:hAnsi="仿宋" w:eastAsia="仿宋"/>
                <w:color w:val="auto"/>
                <w:sz w:val="30"/>
                <w:szCs w:val="30"/>
              </w:rPr>
            </w:pPr>
            <w:r>
              <w:rPr>
                <w:rFonts w:hint="eastAsia" w:ascii="仿宋" w:hAnsi="仿宋" w:eastAsia="仿宋"/>
                <w:color w:val="auto"/>
                <w:sz w:val="30"/>
                <w:szCs w:val="30"/>
              </w:rPr>
              <w:t>电气火灾监控探测器的外观良好，运行正常</w:t>
            </w:r>
          </w:p>
        </w:tc>
      </w:tr>
      <w:tr w14:paraId="21FEDC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1B32B0FE">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71DD8A4F">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108F6080">
            <w:pPr>
              <w:spacing w:line="520" w:lineRule="exact"/>
              <w:rPr>
                <w:rFonts w:ascii="仿宋" w:hAnsi="仿宋" w:eastAsia="仿宋"/>
                <w:color w:val="auto"/>
                <w:sz w:val="30"/>
                <w:szCs w:val="30"/>
              </w:rPr>
            </w:pPr>
            <w:r>
              <w:rPr>
                <w:rFonts w:hint="eastAsia" w:ascii="仿宋" w:hAnsi="仿宋" w:eastAsia="仿宋"/>
                <w:color w:val="auto"/>
                <w:sz w:val="30"/>
                <w:szCs w:val="30"/>
              </w:rPr>
              <w:t>报警主机外观良好，运行正常</w:t>
            </w:r>
          </w:p>
        </w:tc>
      </w:tr>
      <w:tr w14:paraId="573568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3"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3BB3126B">
            <w:pPr>
              <w:spacing w:line="520" w:lineRule="exact"/>
              <w:jc w:val="center"/>
              <w:rPr>
                <w:rFonts w:ascii="仿宋" w:hAnsi="仿宋" w:eastAsia="仿宋"/>
                <w:color w:val="auto"/>
                <w:sz w:val="30"/>
                <w:szCs w:val="30"/>
              </w:rPr>
            </w:pPr>
            <w:r>
              <w:rPr>
                <w:rFonts w:hint="eastAsia" w:ascii="仿宋" w:hAnsi="仿宋" w:eastAsia="仿宋"/>
                <w:color w:val="auto"/>
                <w:sz w:val="30"/>
                <w:szCs w:val="30"/>
              </w:rPr>
              <w:t>4</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5E365E39">
            <w:pPr>
              <w:spacing w:line="520" w:lineRule="exact"/>
              <w:jc w:val="center"/>
              <w:rPr>
                <w:rFonts w:ascii="仿宋" w:hAnsi="仿宋" w:eastAsia="仿宋"/>
                <w:color w:val="auto"/>
                <w:sz w:val="30"/>
                <w:szCs w:val="30"/>
              </w:rPr>
            </w:pPr>
            <w:r>
              <w:rPr>
                <w:rFonts w:hint="eastAsia" w:ascii="仿宋" w:hAnsi="仿宋" w:eastAsia="仿宋"/>
                <w:color w:val="auto"/>
                <w:sz w:val="30"/>
                <w:szCs w:val="30"/>
              </w:rPr>
              <w:t>可燃气体探测</w:t>
            </w:r>
          </w:p>
          <w:p w14:paraId="78523D41">
            <w:pPr>
              <w:spacing w:line="520" w:lineRule="exact"/>
              <w:jc w:val="center"/>
              <w:rPr>
                <w:rFonts w:ascii="仿宋" w:hAnsi="仿宋" w:eastAsia="仿宋"/>
                <w:color w:val="auto"/>
                <w:sz w:val="30"/>
                <w:szCs w:val="30"/>
              </w:rPr>
            </w:pPr>
            <w:r>
              <w:rPr>
                <w:rFonts w:hint="eastAsia" w:ascii="仿宋" w:hAnsi="仿宋" w:eastAsia="仿宋"/>
                <w:color w:val="auto"/>
                <w:sz w:val="30"/>
                <w:szCs w:val="30"/>
              </w:rPr>
              <w:t>报警系统</w:t>
            </w:r>
          </w:p>
        </w:tc>
        <w:tc>
          <w:tcPr>
            <w:tcW w:w="6960" w:type="dxa"/>
            <w:tcBorders>
              <w:top w:val="single" w:color="auto" w:sz="6" w:space="0"/>
              <w:left w:val="single" w:color="auto" w:sz="6" w:space="0"/>
              <w:bottom w:val="single" w:color="auto" w:sz="6" w:space="0"/>
              <w:right w:val="single" w:color="auto" w:sz="6" w:space="0"/>
            </w:tcBorders>
            <w:vAlign w:val="center"/>
          </w:tcPr>
          <w:p w14:paraId="661E24C8">
            <w:pPr>
              <w:spacing w:line="520" w:lineRule="exact"/>
              <w:rPr>
                <w:rFonts w:ascii="仿宋" w:hAnsi="仿宋" w:eastAsia="仿宋"/>
                <w:color w:val="auto"/>
                <w:sz w:val="30"/>
                <w:szCs w:val="30"/>
              </w:rPr>
            </w:pPr>
            <w:r>
              <w:rPr>
                <w:rFonts w:hint="eastAsia" w:ascii="仿宋" w:hAnsi="仿宋" w:eastAsia="仿宋"/>
                <w:color w:val="auto"/>
                <w:sz w:val="30"/>
                <w:szCs w:val="30"/>
              </w:rPr>
              <w:t>可燃气体探测器的外观良好，运行正常</w:t>
            </w:r>
          </w:p>
        </w:tc>
      </w:tr>
      <w:tr w14:paraId="6D2AD0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05ADCE34">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4102202F">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37894291">
            <w:pPr>
              <w:spacing w:line="520" w:lineRule="exact"/>
              <w:rPr>
                <w:rFonts w:ascii="仿宋" w:hAnsi="仿宋" w:eastAsia="仿宋"/>
                <w:color w:val="auto"/>
                <w:sz w:val="30"/>
                <w:szCs w:val="30"/>
              </w:rPr>
            </w:pPr>
            <w:r>
              <w:rPr>
                <w:rFonts w:hint="eastAsia" w:ascii="仿宋" w:hAnsi="仿宋" w:eastAsia="仿宋"/>
                <w:color w:val="auto"/>
                <w:sz w:val="30"/>
                <w:szCs w:val="30"/>
              </w:rPr>
              <w:t>报警主机外观良好，运行正常</w:t>
            </w:r>
          </w:p>
        </w:tc>
      </w:tr>
      <w:tr w14:paraId="41BA4A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6"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1B80EA9C">
            <w:pPr>
              <w:spacing w:line="520" w:lineRule="exact"/>
              <w:jc w:val="center"/>
              <w:rPr>
                <w:rFonts w:ascii="仿宋" w:hAnsi="仿宋" w:eastAsia="仿宋"/>
                <w:color w:val="auto"/>
                <w:sz w:val="30"/>
                <w:szCs w:val="30"/>
              </w:rPr>
            </w:pPr>
            <w:r>
              <w:rPr>
                <w:rFonts w:hint="eastAsia" w:ascii="仿宋" w:hAnsi="仿宋" w:eastAsia="仿宋"/>
                <w:color w:val="auto"/>
                <w:sz w:val="30"/>
                <w:szCs w:val="30"/>
              </w:rPr>
              <w:t>5</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73CF4870">
            <w:pPr>
              <w:spacing w:line="520" w:lineRule="exact"/>
              <w:jc w:val="center"/>
              <w:rPr>
                <w:rFonts w:ascii="仿宋" w:hAnsi="仿宋" w:eastAsia="仿宋"/>
                <w:color w:val="auto"/>
                <w:sz w:val="30"/>
                <w:szCs w:val="30"/>
              </w:rPr>
            </w:pPr>
            <w:r>
              <w:rPr>
                <w:rFonts w:hint="eastAsia" w:ascii="仿宋" w:hAnsi="仿宋" w:eastAsia="仿宋"/>
                <w:color w:val="auto"/>
                <w:sz w:val="30"/>
                <w:szCs w:val="30"/>
              </w:rPr>
              <w:t>消防供水设施</w:t>
            </w:r>
          </w:p>
        </w:tc>
        <w:tc>
          <w:tcPr>
            <w:tcW w:w="6960" w:type="dxa"/>
            <w:tcBorders>
              <w:top w:val="single" w:color="auto" w:sz="6" w:space="0"/>
              <w:left w:val="single" w:color="auto" w:sz="6" w:space="0"/>
              <w:bottom w:val="single" w:color="auto" w:sz="6" w:space="0"/>
              <w:right w:val="single" w:color="auto" w:sz="6" w:space="0"/>
            </w:tcBorders>
            <w:vAlign w:val="center"/>
          </w:tcPr>
          <w:p w14:paraId="49FD4F91">
            <w:pPr>
              <w:spacing w:line="520" w:lineRule="exact"/>
              <w:rPr>
                <w:rFonts w:ascii="仿宋" w:hAnsi="仿宋" w:eastAsia="仿宋"/>
                <w:color w:val="auto"/>
                <w:sz w:val="30"/>
                <w:szCs w:val="30"/>
              </w:rPr>
            </w:pPr>
            <w:r>
              <w:rPr>
                <w:rFonts w:hint="eastAsia" w:ascii="仿宋" w:hAnsi="仿宋" w:eastAsia="仿宋"/>
                <w:color w:val="auto"/>
                <w:sz w:val="30"/>
                <w:szCs w:val="30"/>
              </w:rPr>
              <w:t>消防水池、消防水箱外观，液位显示装置外观良好，运行正常；天然水源水位、水量、水质情况，进户管外观良好，运行正常</w:t>
            </w:r>
          </w:p>
        </w:tc>
      </w:tr>
      <w:tr w14:paraId="2168A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09881D1F">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00ADCBFB">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5681709D">
            <w:pPr>
              <w:spacing w:line="520" w:lineRule="exact"/>
              <w:rPr>
                <w:rFonts w:ascii="仿宋" w:hAnsi="仿宋" w:eastAsia="仿宋"/>
                <w:color w:val="auto"/>
                <w:sz w:val="30"/>
                <w:szCs w:val="30"/>
              </w:rPr>
            </w:pPr>
            <w:r>
              <w:rPr>
                <w:rFonts w:hint="eastAsia" w:ascii="仿宋" w:hAnsi="仿宋" w:eastAsia="仿宋"/>
                <w:color w:val="auto"/>
                <w:sz w:val="30"/>
                <w:szCs w:val="30"/>
              </w:rPr>
              <w:t>消防水泵及控制柜工作正常</w:t>
            </w:r>
          </w:p>
        </w:tc>
      </w:tr>
      <w:tr w14:paraId="317ED4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2BF38B08">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2FA8A153">
            <w:pPr>
              <w:widowControl/>
              <w:spacing w:line="520" w:lineRule="exact"/>
              <w:jc w:val="left"/>
              <w:rPr>
                <w:rFonts w:ascii="仿宋" w:hAnsi="仿宋" w:eastAsia="仿宋"/>
                <w:color w:val="auto"/>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74BCF70B">
            <w:pPr>
              <w:spacing w:line="520" w:lineRule="exact"/>
              <w:rPr>
                <w:rFonts w:ascii="仿宋" w:hAnsi="仿宋" w:eastAsia="仿宋"/>
                <w:color w:val="auto"/>
                <w:sz w:val="30"/>
                <w:szCs w:val="30"/>
              </w:rPr>
            </w:pPr>
            <w:r>
              <w:rPr>
                <w:rFonts w:hint="eastAsia" w:ascii="仿宋" w:hAnsi="仿宋" w:eastAsia="仿宋"/>
                <w:color w:val="auto"/>
                <w:sz w:val="30"/>
                <w:szCs w:val="30"/>
              </w:rPr>
              <w:t>稳压泵、增压泵、气压水罐及控制柜工作正常</w:t>
            </w:r>
          </w:p>
        </w:tc>
      </w:tr>
      <w:tr w14:paraId="3453A5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27854620">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23B896E8">
            <w:pPr>
              <w:widowControl/>
              <w:spacing w:line="520" w:lineRule="exact"/>
              <w:jc w:val="left"/>
              <w:rPr>
                <w:rFonts w:ascii="仿宋" w:hAnsi="仿宋" w:eastAsia="仿宋"/>
                <w:color w:val="auto"/>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339A3115">
            <w:pPr>
              <w:spacing w:line="520" w:lineRule="exact"/>
              <w:rPr>
                <w:rFonts w:ascii="仿宋" w:hAnsi="仿宋" w:eastAsia="仿宋"/>
                <w:color w:val="auto"/>
                <w:sz w:val="30"/>
                <w:szCs w:val="30"/>
              </w:rPr>
            </w:pPr>
            <w:r>
              <w:rPr>
                <w:rFonts w:hint="eastAsia" w:ascii="仿宋" w:hAnsi="仿宋" w:eastAsia="仿宋"/>
                <w:color w:val="auto"/>
                <w:sz w:val="30"/>
                <w:szCs w:val="30"/>
              </w:rPr>
              <w:t>水泵接合器外观良好、标识齐备</w:t>
            </w:r>
          </w:p>
        </w:tc>
      </w:tr>
      <w:tr w14:paraId="02C804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270C2607">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2265E39B">
            <w:pPr>
              <w:widowControl/>
              <w:spacing w:line="520" w:lineRule="exact"/>
              <w:jc w:val="left"/>
              <w:rPr>
                <w:rFonts w:ascii="仿宋" w:hAnsi="仿宋" w:eastAsia="仿宋"/>
                <w:color w:val="auto"/>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73095C4A">
            <w:pPr>
              <w:spacing w:line="520" w:lineRule="exact"/>
              <w:rPr>
                <w:rFonts w:ascii="仿宋" w:hAnsi="仿宋" w:eastAsia="仿宋"/>
                <w:color w:val="auto"/>
                <w:sz w:val="30"/>
                <w:szCs w:val="30"/>
              </w:rPr>
            </w:pPr>
            <w:r>
              <w:rPr>
                <w:rFonts w:hint="eastAsia" w:ascii="仿宋" w:hAnsi="仿宋" w:eastAsia="仿宋"/>
                <w:color w:val="auto"/>
                <w:sz w:val="30"/>
                <w:szCs w:val="30"/>
              </w:rPr>
              <w:t>系统减压、泄压装置、测试装置、压力表等外观良好，运行正常</w:t>
            </w:r>
          </w:p>
        </w:tc>
      </w:tr>
      <w:tr w14:paraId="6E4AE8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505F8D9D">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30321097">
            <w:pPr>
              <w:widowControl/>
              <w:spacing w:line="520" w:lineRule="exact"/>
              <w:jc w:val="left"/>
              <w:rPr>
                <w:rFonts w:ascii="仿宋" w:hAnsi="仿宋" w:eastAsia="仿宋"/>
                <w:color w:val="auto"/>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4817C21D">
            <w:pPr>
              <w:spacing w:line="520" w:lineRule="exact"/>
              <w:rPr>
                <w:rFonts w:ascii="仿宋" w:hAnsi="仿宋" w:eastAsia="仿宋"/>
                <w:color w:val="auto"/>
                <w:sz w:val="30"/>
                <w:szCs w:val="30"/>
              </w:rPr>
            </w:pPr>
            <w:r>
              <w:rPr>
                <w:rFonts w:hint="eastAsia" w:ascii="仿宋" w:hAnsi="仿宋" w:eastAsia="仿宋"/>
                <w:color w:val="auto"/>
                <w:sz w:val="30"/>
                <w:szCs w:val="30"/>
              </w:rPr>
              <w:t>管网控制阀门启闭正常</w:t>
            </w:r>
          </w:p>
        </w:tc>
      </w:tr>
      <w:tr w14:paraId="62142E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51555AE8">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6F52AD55">
            <w:pPr>
              <w:widowControl/>
              <w:spacing w:line="520" w:lineRule="exact"/>
              <w:jc w:val="left"/>
              <w:rPr>
                <w:rFonts w:ascii="仿宋" w:hAnsi="仿宋" w:eastAsia="仿宋"/>
                <w:color w:val="auto"/>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00E7CB30">
            <w:pPr>
              <w:spacing w:line="520" w:lineRule="exact"/>
              <w:rPr>
                <w:rFonts w:ascii="仿宋" w:hAnsi="仿宋" w:eastAsia="仿宋"/>
                <w:color w:val="auto"/>
                <w:sz w:val="30"/>
                <w:szCs w:val="30"/>
              </w:rPr>
            </w:pPr>
            <w:r>
              <w:rPr>
                <w:rFonts w:hint="eastAsia" w:ascii="仿宋" w:hAnsi="仿宋" w:eastAsia="仿宋"/>
                <w:color w:val="auto"/>
                <w:sz w:val="30"/>
                <w:szCs w:val="30"/>
              </w:rPr>
              <w:t>泵房照明、排水等工作环境正常</w:t>
            </w:r>
          </w:p>
        </w:tc>
      </w:tr>
      <w:tr w14:paraId="2CF28D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restart"/>
            <w:tcBorders>
              <w:top w:val="single" w:color="auto" w:sz="8" w:space="0"/>
              <w:left w:val="single" w:color="auto" w:sz="4" w:space="0"/>
              <w:bottom w:val="single" w:color="auto" w:sz="8" w:space="0"/>
              <w:right w:val="single" w:color="auto" w:sz="4" w:space="0"/>
            </w:tcBorders>
            <w:vAlign w:val="center"/>
          </w:tcPr>
          <w:p w14:paraId="5B391329">
            <w:pPr>
              <w:spacing w:line="520" w:lineRule="exact"/>
              <w:jc w:val="center"/>
              <w:rPr>
                <w:rFonts w:ascii="仿宋" w:hAnsi="仿宋" w:eastAsia="仿宋"/>
                <w:color w:val="auto"/>
                <w:sz w:val="30"/>
                <w:szCs w:val="30"/>
              </w:rPr>
            </w:pPr>
            <w:r>
              <w:rPr>
                <w:rFonts w:hint="eastAsia" w:ascii="仿宋" w:hAnsi="仿宋" w:eastAsia="仿宋"/>
                <w:color w:val="auto"/>
                <w:sz w:val="30"/>
                <w:szCs w:val="30"/>
              </w:rPr>
              <w:t>6</w:t>
            </w:r>
          </w:p>
        </w:tc>
        <w:tc>
          <w:tcPr>
            <w:tcW w:w="1485" w:type="dxa"/>
            <w:vMerge w:val="restart"/>
            <w:tcBorders>
              <w:top w:val="single" w:color="auto" w:sz="8" w:space="0"/>
              <w:left w:val="single" w:color="auto" w:sz="4" w:space="0"/>
              <w:bottom w:val="single" w:color="auto" w:sz="8" w:space="0"/>
              <w:right w:val="single" w:color="auto" w:sz="8" w:space="0"/>
            </w:tcBorders>
            <w:vAlign w:val="center"/>
          </w:tcPr>
          <w:p w14:paraId="0F79C1AC">
            <w:pPr>
              <w:spacing w:line="520" w:lineRule="exact"/>
              <w:jc w:val="center"/>
              <w:rPr>
                <w:rFonts w:ascii="仿宋" w:hAnsi="仿宋" w:eastAsia="仿宋"/>
                <w:color w:val="auto"/>
                <w:sz w:val="30"/>
                <w:szCs w:val="30"/>
              </w:rPr>
            </w:pPr>
            <w:r>
              <w:rPr>
                <w:rFonts w:hint="eastAsia" w:ascii="仿宋" w:hAnsi="仿宋" w:eastAsia="仿宋"/>
                <w:color w:val="auto"/>
                <w:sz w:val="30"/>
                <w:szCs w:val="30"/>
              </w:rPr>
              <w:t>消火栓（消防炮）灭火系统</w:t>
            </w:r>
          </w:p>
        </w:tc>
        <w:tc>
          <w:tcPr>
            <w:tcW w:w="6960" w:type="dxa"/>
            <w:tcBorders>
              <w:top w:val="single" w:color="auto" w:sz="8" w:space="0"/>
              <w:left w:val="single" w:color="auto" w:sz="8" w:space="0"/>
              <w:bottom w:val="single" w:color="auto" w:sz="8" w:space="0"/>
              <w:right w:val="single" w:color="auto" w:sz="8" w:space="0"/>
            </w:tcBorders>
            <w:vAlign w:val="center"/>
          </w:tcPr>
          <w:p w14:paraId="6A03E694">
            <w:pPr>
              <w:spacing w:line="520" w:lineRule="exact"/>
              <w:rPr>
                <w:rFonts w:ascii="仿宋" w:hAnsi="仿宋" w:eastAsia="仿宋"/>
                <w:color w:val="auto"/>
                <w:sz w:val="30"/>
                <w:szCs w:val="30"/>
              </w:rPr>
            </w:pPr>
            <w:r>
              <w:rPr>
                <w:rFonts w:hint="eastAsia" w:ascii="仿宋" w:hAnsi="仿宋" w:eastAsia="仿宋"/>
                <w:color w:val="auto"/>
                <w:sz w:val="30"/>
                <w:szCs w:val="30"/>
              </w:rPr>
              <w:t>室内消火栓、消防卷盘外观良好，配件完整</w:t>
            </w:r>
          </w:p>
        </w:tc>
      </w:tr>
      <w:tr w14:paraId="44DE0F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8" w:space="0"/>
              <w:left w:val="single" w:color="auto" w:sz="4" w:space="0"/>
              <w:bottom w:val="single" w:color="auto" w:sz="8" w:space="0"/>
              <w:right w:val="single" w:color="auto" w:sz="4" w:space="0"/>
            </w:tcBorders>
            <w:vAlign w:val="center"/>
          </w:tcPr>
          <w:p w14:paraId="55D36C7C">
            <w:pPr>
              <w:widowControl/>
              <w:spacing w:line="520" w:lineRule="exact"/>
              <w:jc w:val="left"/>
              <w:rPr>
                <w:rFonts w:ascii="仿宋" w:hAnsi="仿宋" w:eastAsia="仿宋"/>
                <w:color w:val="auto"/>
                <w:sz w:val="30"/>
                <w:szCs w:val="30"/>
              </w:rPr>
            </w:pPr>
          </w:p>
        </w:tc>
        <w:tc>
          <w:tcPr>
            <w:tcW w:w="1485" w:type="dxa"/>
            <w:vMerge w:val="continue"/>
            <w:tcBorders>
              <w:top w:val="single" w:color="auto" w:sz="8" w:space="0"/>
              <w:left w:val="single" w:color="auto" w:sz="4" w:space="0"/>
              <w:bottom w:val="single" w:color="auto" w:sz="8" w:space="0"/>
              <w:right w:val="single" w:color="auto" w:sz="8" w:space="0"/>
            </w:tcBorders>
            <w:vAlign w:val="center"/>
          </w:tcPr>
          <w:p w14:paraId="42F1705E">
            <w:pPr>
              <w:widowControl/>
              <w:spacing w:line="520" w:lineRule="exact"/>
              <w:jc w:val="left"/>
              <w:rPr>
                <w:rFonts w:ascii="仿宋" w:hAnsi="仿宋" w:eastAsia="仿宋"/>
                <w:color w:val="auto"/>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6F3274EA">
            <w:pPr>
              <w:spacing w:line="520" w:lineRule="exact"/>
              <w:rPr>
                <w:rFonts w:ascii="仿宋" w:hAnsi="仿宋" w:eastAsia="仿宋"/>
                <w:color w:val="auto"/>
                <w:sz w:val="30"/>
                <w:szCs w:val="30"/>
              </w:rPr>
            </w:pPr>
            <w:r>
              <w:rPr>
                <w:rFonts w:hint="eastAsia" w:ascii="仿宋" w:hAnsi="仿宋" w:eastAsia="仿宋"/>
                <w:color w:val="auto"/>
                <w:sz w:val="30"/>
                <w:szCs w:val="30"/>
              </w:rPr>
              <w:t xml:space="preserve">屋顶试验消火栓外观良好，运行正常及配件完整、压力显示装置外观良好，运行正常，最不利点消火栓管口静压力建筑高度100米及以上不低于0.15MP，建筑高度100米以下不低于0.07MP；楼层及地下室消火栓管口静压力不大于0.8 MP。 </w:t>
            </w:r>
          </w:p>
        </w:tc>
      </w:tr>
      <w:tr w14:paraId="20D1C2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8" w:space="0"/>
              <w:left w:val="single" w:color="auto" w:sz="4" w:space="0"/>
              <w:bottom w:val="single" w:color="auto" w:sz="8" w:space="0"/>
              <w:right w:val="single" w:color="auto" w:sz="4" w:space="0"/>
            </w:tcBorders>
            <w:vAlign w:val="center"/>
          </w:tcPr>
          <w:p w14:paraId="4BB005DD">
            <w:pPr>
              <w:widowControl/>
              <w:spacing w:line="520" w:lineRule="exact"/>
              <w:jc w:val="left"/>
              <w:rPr>
                <w:rFonts w:ascii="仿宋" w:hAnsi="仿宋" w:eastAsia="仿宋"/>
                <w:color w:val="auto"/>
                <w:sz w:val="30"/>
                <w:szCs w:val="30"/>
              </w:rPr>
            </w:pPr>
          </w:p>
        </w:tc>
        <w:tc>
          <w:tcPr>
            <w:tcW w:w="1485" w:type="dxa"/>
            <w:vMerge w:val="continue"/>
            <w:tcBorders>
              <w:top w:val="single" w:color="auto" w:sz="8" w:space="0"/>
              <w:left w:val="single" w:color="auto" w:sz="4" w:space="0"/>
              <w:bottom w:val="single" w:color="auto" w:sz="8" w:space="0"/>
              <w:right w:val="single" w:color="auto" w:sz="8" w:space="0"/>
            </w:tcBorders>
            <w:vAlign w:val="center"/>
          </w:tcPr>
          <w:p w14:paraId="0FB73774">
            <w:pPr>
              <w:widowControl/>
              <w:spacing w:line="520" w:lineRule="exact"/>
              <w:jc w:val="left"/>
              <w:rPr>
                <w:rFonts w:ascii="仿宋" w:hAnsi="仿宋" w:eastAsia="仿宋"/>
                <w:color w:val="auto"/>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0177F55D">
            <w:pPr>
              <w:spacing w:line="520" w:lineRule="exact"/>
              <w:rPr>
                <w:rFonts w:ascii="仿宋" w:hAnsi="仿宋" w:eastAsia="仿宋"/>
                <w:color w:val="auto"/>
                <w:sz w:val="30"/>
                <w:szCs w:val="30"/>
              </w:rPr>
            </w:pPr>
            <w:r>
              <w:rPr>
                <w:rFonts w:hint="eastAsia" w:ascii="仿宋" w:hAnsi="仿宋" w:eastAsia="仿宋"/>
                <w:color w:val="auto"/>
                <w:sz w:val="30"/>
                <w:szCs w:val="30"/>
              </w:rPr>
              <w:t>室外消火栓外观良好、地下消火栓标识齐备、栓井环境良好</w:t>
            </w:r>
          </w:p>
        </w:tc>
      </w:tr>
      <w:tr w14:paraId="662F26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8" w:space="0"/>
              <w:left w:val="single" w:color="auto" w:sz="4" w:space="0"/>
              <w:bottom w:val="single" w:color="auto" w:sz="8" w:space="0"/>
              <w:right w:val="single" w:color="auto" w:sz="4" w:space="0"/>
            </w:tcBorders>
            <w:vAlign w:val="center"/>
          </w:tcPr>
          <w:p w14:paraId="4E5AF277">
            <w:pPr>
              <w:widowControl/>
              <w:spacing w:line="520" w:lineRule="exact"/>
              <w:jc w:val="left"/>
              <w:rPr>
                <w:rFonts w:ascii="仿宋" w:hAnsi="仿宋" w:eastAsia="仿宋"/>
                <w:color w:val="auto"/>
                <w:sz w:val="30"/>
                <w:szCs w:val="30"/>
              </w:rPr>
            </w:pPr>
          </w:p>
        </w:tc>
        <w:tc>
          <w:tcPr>
            <w:tcW w:w="1485" w:type="dxa"/>
            <w:vMerge w:val="continue"/>
            <w:tcBorders>
              <w:top w:val="single" w:color="auto" w:sz="8" w:space="0"/>
              <w:left w:val="single" w:color="auto" w:sz="4" w:space="0"/>
              <w:bottom w:val="single" w:color="auto" w:sz="8" w:space="0"/>
              <w:right w:val="single" w:color="auto" w:sz="8" w:space="0"/>
            </w:tcBorders>
            <w:vAlign w:val="center"/>
          </w:tcPr>
          <w:p w14:paraId="53B993ED">
            <w:pPr>
              <w:widowControl/>
              <w:spacing w:line="520" w:lineRule="exact"/>
              <w:jc w:val="left"/>
              <w:rPr>
                <w:rFonts w:ascii="仿宋" w:hAnsi="仿宋" w:eastAsia="仿宋"/>
                <w:color w:val="auto"/>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72480635">
            <w:pPr>
              <w:spacing w:line="520" w:lineRule="exact"/>
              <w:rPr>
                <w:rFonts w:ascii="仿宋" w:hAnsi="仿宋" w:eastAsia="仿宋"/>
                <w:color w:val="auto"/>
                <w:sz w:val="30"/>
                <w:szCs w:val="30"/>
              </w:rPr>
            </w:pPr>
            <w:r>
              <w:rPr>
                <w:rFonts w:hint="eastAsia" w:ascii="仿宋" w:hAnsi="仿宋" w:eastAsia="仿宋"/>
                <w:color w:val="auto"/>
                <w:sz w:val="30"/>
                <w:szCs w:val="30"/>
              </w:rPr>
              <w:t>消防炮、炮塔、现场火灾探测控制装置、回旋装置等外观良好及周边环境良好</w:t>
            </w:r>
          </w:p>
        </w:tc>
      </w:tr>
      <w:tr w14:paraId="102A5E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8" w:space="0"/>
              <w:left w:val="single" w:color="auto" w:sz="4" w:space="0"/>
              <w:bottom w:val="single" w:color="auto" w:sz="8" w:space="0"/>
              <w:right w:val="single" w:color="auto" w:sz="4" w:space="0"/>
            </w:tcBorders>
            <w:vAlign w:val="center"/>
          </w:tcPr>
          <w:p w14:paraId="5F6F7BB2">
            <w:pPr>
              <w:widowControl/>
              <w:spacing w:line="520" w:lineRule="exact"/>
              <w:jc w:val="left"/>
              <w:rPr>
                <w:rFonts w:ascii="仿宋" w:hAnsi="仿宋" w:eastAsia="仿宋"/>
                <w:color w:val="auto"/>
                <w:sz w:val="30"/>
                <w:szCs w:val="30"/>
              </w:rPr>
            </w:pPr>
          </w:p>
        </w:tc>
        <w:tc>
          <w:tcPr>
            <w:tcW w:w="1485" w:type="dxa"/>
            <w:vMerge w:val="continue"/>
            <w:tcBorders>
              <w:top w:val="single" w:color="auto" w:sz="8" w:space="0"/>
              <w:left w:val="single" w:color="auto" w:sz="4" w:space="0"/>
              <w:bottom w:val="single" w:color="auto" w:sz="8" w:space="0"/>
              <w:right w:val="single" w:color="auto" w:sz="8" w:space="0"/>
            </w:tcBorders>
            <w:vAlign w:val="center"/>
          </w:tcPr>
          <w:p w14:paraId="014F15B0">
            <w:pPr>
              <w:widowControl/>
              <w:spacing w:line="520" w:lineRule="exact"/>
              <w:jc w:val="left"/>
              <w:rPr>
                <w:rFonts w:ascii="仿宋" w:hAnsi="仿宋" w:eastAsia="仿宋"/>
                <w:color w:val="auto"/>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3116F7AB">
            <w:pPr>
              <w:spacing w:line="520" w:lineRule="exact"/>
              <w:rPr>
                <w:rFonts w:ascii="仿宋" w:hAnsi="仿宋" w:eastAsia="仿宋"/>
                <w:color w:val="auto"/>
                <w:sz w:val="30"/>
                <w:szCs w:val="30"/>
              </w:rPr>
            </w:pPr>
            <w:r>
              <w:rPr>
                <w:rFonts w:hint="eastAsia" w:ascii="仿宋" w:hAnsi="仿宋" w:eastAsia="仿宋"/>
                <w:color w:val="auto"/>
                <w:sz w:val="30"/>
                <w:szCs w:val="30"/>
              </w:rPr>
              <w:t>启泵按钮外观良好</w:t>
            </w:r>
          </w:p>
        </w:tc>
      </w:tr>
      <w:tr w14:paraId="6AF46A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restart"/>
            <w:tcBorders>
              <w:top w:val="single" w:color="auto" w:sz="8" w:space="0"/>
              <w:left w:val="single" w:color="auto" w:sz="8" w:space="0"/>
              <w:bottom w:val="single" w:color="auto" w:sz="8" w:space="0"/>
              <w:right w:val="single" w:color="auto" w:sz="4" w:space="0"/>
            </w:tcBorders>
            <w:vAlign w:val="center"/>
          </w:tcPr>
          <w:p w14:paraId="2543CB00">
            <w:pPr>
              <w:spacing w:line="520" w:lineRule="exact"/>
              <w:jc w:val="center"/>
              <w:rPr>
                <w:rFonts w:ascii="仿宋" w:hAnsi="仿宋" w:eastAsia="仿宋"/>
                <w:color w:val="auto"/>
                <w:sz w:val="30"/>
                <w:szCs w:val="30"/>
              </w:rPr>
            </w:pPr>
            <w:r>
              <w:rPr>
                <w:rFonts w:hint="eastAsia" w:ascii="仿宋" w:hAnsi="仿宋" w:eastAsia="仿宋"/>
                <w:color w:val="auto"/>
                <w:sz w:val="30"/>
                <w:szCs w:val="30"/>
              </w:rPr>
              <w:t>7</w:t>
            </w:r>
          </w:p>
        </w:tc>
        <w:tc>
          <w:tcPr>
            <w:tcW w:w="1485" w:type="dxa"/>
            <w:vMerge w:val="restart"/>
            <w:tcBorders>
              <w:top w:val="single" w:color="auto" w:sz="8" w:space="0"/>
              <w:left w:val="single" w:color="auto" w:sz="4" w:space="0"/>
              <w:bottom w:val="single" w:color="auto" w:sz="8" w:space="0"/>
              <w:right w:val="single" w:color="auto" w:sz="8" w:space="0"/>
            </w:tcBorders>
            <w:vAlign w:val="center"/>
          </w:tcPr>
          <w:p w14:paraId="48615AE6">
            <w:pPr>
              <w:spacing w:line="520" w:lineRule="exact"/>
              <w:jc w:val="center"/>
              <w:rPr>
                <w:rFonts w:ascii="仿宋" w:hAnsi="仿宋" w:eastAsia="仿宋"/>
                <w:color w:val="auto"/>
                <w:sz w:val="30"/>
                <w:szCs w:val="30"/>
              </w:rPr>
            </w:pPr>
            <w:r>
              <w:rPr>
                <w:rFonts w:hint="eastAsia" w:ascii="仿宋" w:hAnsi="仿宋" w:eastAsia="仿宋"/>
                <w:color w:val="auto"/>
                <w:sz w:val="30"/>
                <w:szCs w:val="30"/>
              </w:rPr>
              <w:t>自动喷水灭火系统</w:t>
            </w:r>
          </w:p>
        </w:tc>
        <w:tc>
          <w:tcPr>
            <w:tcW w:w="6960" w:type="dxa"/>
            <w:tcBorders>
              <w:top w:val="single" w:color="auto" w:sz="8" w:space="0"/>
              <w:left w:val="single" w:color="auto" w:sz="8" w:space="0"/>
              <w:bottom w:val="single" w:color="auto" w:sz="8" w:space="0"/>
              <w:right w:val="single" w:color="auto" w:sz="8" w:space="0"/>
            </w:tcBorders>
            <w:vAlign w:val="center"/>
          </w:tcPr>
          <w:p w14:paraId="79F005FF">
            <w:pPr>
              <w:spacing w:line="520" w:lineRule="exact"/>
              <w:rPr>
                <w:rFonts w:ascii="仿宋" w:hAnsi="仿宋" w:eastAsia="仿宋"/>
                <w:color w:val="auto"/>
                <w:sz w:val="30"/>
                <w:szCs w:val="30"/>
              </w:rPr>
            </w:pPr>
            <w:r>
              <w:rPr>
                <w:rFonts w:hint="eastAsia" w:ascii="仿宋" w:hAnsi="仿宋" w:eastAsia="仿宋"/>
                <w:color w:val="auto"/>
                <w:sz w:val="30"/>
                <w:szCs w:val="30"/>
              </w:rPr>
              <w:t>喷头外观良好，保护对象周边无障碍物</w:t>
            </w:r>
          </w:p>
        </w:tc>
      </w:tr>
      <w:tr w14:paraId="5C0544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8" w:space="0"/>
              <w:left w:val="single" w:color="auto" w:sz="8" w:space="0"/>
              <w:bottom w:val="single" w:color="auto" w:sz="8" w:space="0"/>
              <w:right w:val="single" w:color="auto" w:sz="4" w:space="0"/>
            </w:tcBorders>
            <w:vAlign w:val="center"/>
          </w:tcPr>
          <w:p w14:paraId="71892651">
            <w:pPr>
              <w:widowControl/>
              <w:spacing w:line="520" w:lineRule="exact"/>
              <w:jc w:val="left"/>
              <w:rPr>
                <w:rFonts w:ascii="仿宋" w:hAnsi="仿宋" w:eastAsia="仿宋"/>
                <w:color w:val="auto"/>
                <w:sz w:val="30"/>
                <w:szCs w:val="30"/>
              </w:rPr>
            </w:pPr>
          </w:p>
        </w:tc>
        <w:tc>
          <w:tcPr>
            <w:tcW w:w="1485" w:type="dxa"/>
            <w:vMerge w:val="continue"/>
            <w:tcBorders>
              <w:top w:val="single" w:color="auto" w:sz="8" w:space="0"/>
              <w:left w:val="single" w:color="auto" w:sz="4" w:space="0"/>
              <w:bottom w:val="single" w:color="auto" w:sz="8" w:space="0"/>
              <w:right w:val="single" w:color="auto" w:sz="8" w:space="0"/>
            </w:tcBorders>
            <w:vAlign w:val="center"/>
          </w:tcPr>
          <w:p w14:paraId="612BB969">
            <w:pPr>
              <w:widowControl/>
              <w:spacing w:line="520" w:lineRule="exact"/>
              <w:jc w:val="left"/>
              <w:rPr>
                <w:rFonts w:ascii="仿宋" w:hAnsi="仿宋" w:eastAsia="仿宋"/>
                <w:color w:val="auto"/>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2112AC8A">
            <w:pPr>
              <w:spacing w:line="520" w:lineRule="exact"/>
              <w:rPr>
                <w:rFonts w:ascii="仿宋" w:hAnsi="仿宋" w:eastAsia="仿宋"/>
                <w:color w:val="auto"/>
                <w:sz w:val="30"/>
                <w:szCs w:val="30"/>
              </w:rPr>
            </w:pPr>
            <w:r>
              <w:rPr>
                <w:rFonts w:hint="eastAsia" w:ascii="仿宋" w:hAnsi="仿宋" w:eastAsia="仿宋"/>
                <w:color w:val="auto"/>
                <w:sz w:val="30"/>
                <w:szCs w:val="30"/>
              </w:rPr>
              <w:t>报警阀组外观良好、试验阀门正常、排水设施正常、压力显示值在设计范围</w:t>
            </w:r>
          </w:p>
        </w:tc>
      </w:tr>
      <w:tr w14:paraId="0A7CCD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8" w:space="0"/>
              <w:left w:val="single" w:color="auto" w:sz="8" w:space="0"/>
              <w:bottom w:val="single" w:color="auto" w:sz="8" w:space="0"/>
              <w:right w:val="single" w:color="auto" w:sz="4" w:space="0"/>
            </w:tcBorders>
            <w:vAlign w:val="center"/>
          </w:tcPr>
          <w:p w14:paraId="52903281">
            <w:pPr>
              <w:widowControl/>
              <w:spacing w:line="520" w:lineRule="exact"/>
              <w:jc w:val="left"/>
              <w:rPr>
                <w:rFonts w:ascii="仿宋" w:hAnsi="仿宋" w:eastAsia="仿宋"/>
                <w:color w:val="auto"/>
                <w:sz w:val="30"/>
                <w:szCs w:val="30"/>
              </w:rPr>
            </w:pPr>
          </w:p>
        </w:tc>
        <w:tc>
          <w:tcPr>
            <w:tcW w:w="1485" w:type="dxa"/>
            <w:vMerge w:val="continue"/>
            <w:tcBorders>
              <w:top w:val="single" w:color="auto" w:sz="8" w:space="0"/>
              <w:left w:val="single" w:color="auto" w:sz="4" w:space="0"/>
              <w:bottom w:val="single" w:color="auto" w:sz="8" w:space="0"/>
              <w:right w:val="single" w:color="auto" w:sz="8" w:space="0"/>
            </w:tcBorders>
            <w:vAlign w:val="center"/>
          </w:tcPr>
          <w:p w14:paraId="58CAF918">
            <w:pPr>
              <w:widowControl/>
              <w:spacing w:line="520" w:lineRule="exact"/>
              <w:jc w:val="left"/>
              <w:rPr>
                <w:rFonts w:ascii="仿宋" w:hAnsi="仿宋" w:eastAsia="仿宋"/>
                <w:color w:val="auto"/>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618D3F5D">
            <w:pPr>
              <w:spacing w:line="520" w:lineRule="exact"/>
              <w:rPr>
                <w:rFonts w:ascii="仿宋" w:hAnsi="仿宋" w:eastAsia="仿宋"/>
                <w:color w:val="auto"/>
                <w:sz w:val="30"/>
                <w:szCs w:val="30"/>
              </w:rPr>
            </w:pPr>
            <w:r>
              <w:rPr>
                <w:rFonts w:hint="eastAsia" w:ascii="仿宋" w:hAnsi="仿宋" w:eastAsia="仿宋"/>
                <w:color w:val="auto"/>
                <w:sz w:val="30"/>
                <w:szCs w:val="30"/>
              </w:rPr>
              <w:t>充气设备及控制装置、排气设备及控制装置、火灾探测传动及现场手动控制装置外观良好，运行正常</w:t>
            </w:r>
          </w:p>
        </w:tc>
      </w:tr>
      <w:tr w14:paraId="07B31E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8" w:space="0"/>
              <w:left w:val="single" w:color="auto" w:sz="8" w:space="0"/>
              <w:bottom w:val="single" w:color="auto" w:sz="8" w:space="0"/>
              <w:right w:val="single" w:color="auto" w:sz="4" w:space="0"/>
            </w:tcBorders>
            <w:vAlign w:val="center"/>
          </w:tcPr>
          <w:p w14:paraId="75797C2B">
            <w:pPr>
              <w:widowControl/>
              <w:spacing w:line="520" w:lineRule="exact"/>
              <w:jc w:val="left"/>
              <w:rPr>
                <w:rFonts w:ascii="仿宋" w:hAnsi="仿宋" w:eastAsia="仿宋"/>
                <w:color w:val="auto"/>
                <w:sz w:val="30"/>
                <w:szCs w:val="30"/>
              </w:rPr>
            </w:pPr>
          </w:p>
        </w:tc>
        <w:tc>
          <w:tcPr>
            <w:tcW w:w="1485" w:type="dxa"/>
            <w:vMerge w:val="continue"/>
            <w:tcBorders>
              <w:top w:val="single" w:color="auto" w:sz="8" w:space="0"/>
              <w:left w:val="single" w:color="auto" w:sz="4" w:space="0"/>
              <w:bottom w:val="single" w:color="auto" w:sz="8" w:space="0"/>
              <w:right w:val="single" w:color="auto" w:sz="8" w:space="0"/>
            </w:tcBorders>
            <w:vAlign w:val="center"/>
          </w:tcPr>
          <w:p w14:paraId="23CDB29B">
            <w:pPr>
              <w:widowControl/>
              <w:spacing w:line="520" w:lineRule="exact"/>
              <w:jc w:val="left"/>
              <w:rPr>
                <w:rFonts w:ascii="仿宋" w:hAnsi="仿宋" w:eastAsia="仿宋"/>
                <w:color w:val="auto"/>
                <w:sz w:val="30"/>
                <w:szCs w:val="30"/>
              </w:rPr>
            </w:pPr>
          </w:p>
        </w:tc>
        <w:tc>
          <w:tcPr>
            <w:tcW w:w="6960" w:type="dxa"/>
            <w:tcBorders>
              <w:top w:val="single" w:color="auto" w:sz="8" w:space="0"/>
              <w:left w:val="single" w:color="auto" w:sz="8" w:space="0"/>
              <w:bottom w:val="single" w:color="auto" w:sz="8" w:space="0"/>
              <w:right w:val="single" w:color="auto" w:sz="8" w:space="0"/>
            </w:tcBorders>
            <w:vAlign w:val="center"/>
          </w:tcPr>
          <w:p w14:paraId="108DE9CD">
            <w:pPr>
              <w:spacing w:line="520" w:lineRule="exact"/>
              <w:rPr>
                <w:rFonts w:ascii="仿宋" w:hAnsi="仿宋" w:eastAsia="仿宋"/>
                <w:color w:val="auto"/>
                <w:sz w:val="30"/>
                <w:szCs w:val="30"/>
              </w:rPr>
            </w:pPr>
            <w:r>
              <w:rPr>
                <w:rFonts w:hint="eastAsia" w:ascii="仿宋" w:hAnsi="仿宋" w:eastAsia="仿宋"/>
                <w:color w:val="auto"/>
                <w:sz w:val="30"/>
                <w:szCs w:val="30"/>
              </w:rPr>
              <w:t>楼层或区域末端试验阀门处压力值在设计范围现场环境良好，系统末端试验装置正常</w:t>
            </w:r>
          </w:p>
        </w:tc>
      </w:tr>
      <w:tr w14:paraId="617042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201F4CC7">
            <w:pPr>
              <w:spacing w:line="520" w:lineRule="exact"/>
              <w:jc w:val="center"/>
              <w:rPr>
                <w:rFonts w:ascii="仿宋" w:hAnsi="仿宋" w:eastAsia="仿宋"/>
                <w:color w:val="auto"/>
                <w:sz w:val="30"/>
                <w:szCs w:val="30"/>
              </w:rPr>
            </w:pPr>
            <w:r>
              <w:rPr>
                <w:rFonts w:hint="eastAsia" w:ascii="仿宋" w:hAnsi="仿宋" w:eastAsia="仿宋"/>
                <w:color w:val="auto"/>
                <w:sz w:val="30"/>
                <w:szCs w:val="30"/>
              </w:rPr>
              <w:t>8</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2C40DF9F">
            <w:pPr>
              <w:spacing w:line="520" w:lineRule="exact"/>
              <w:ind w:right="-109" w:rightChars="-52"/>
              <w:jc w:val="center"/>
              <w:rPr>
                <w:rFonts w:ascii="仿宋" w:hAnsi="仿宋" w:eastAsia="仿宋"/>
                <w:color w:val="auto"/>
                <w:sz w:val="30"/>
                <w:szCs w:val="30"/>
              </w:rPr>
            </w:pPr>
            <w:r>
              <w:rPr>
                <w:rFonts w:hint="eastAsia" w:ascii="仿宋" w:hAnsi="仿宋" w:eastAsia="仿宋"/>
                <w:color w:val="auto"/>
                <w:sz w:val="30"/>
                <w:szCs w:val="30"/>
              </w:rPr>
              <w:t>气体灭火系统</w:t>
            </w:r>
          </w:p>
        </w:tc>
        <w:tc>
          <w:tcPr>
            <w:tcW w:w="6960" w:type="dxa"/>
            <w:tcBorders>
              <w:top w:val="single" w:color="auto" w:sz="6" w:space="0"/>
              <w:left w:val="single" w:color="auto" w:sz="6" w:space="0"/>
              <w:bottom w:val="single" w:color="auto" w:sz="6" w:space="0"/>
              <w:right w:val="single" w:color="auto" w:sz="6" w:space="0"/>
            </w:tcBorders>
            <w:vAlign w:val="center"/>
          </w:tcPr>
          <w:p w14:paraId="3E35A58F">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气体灭火控制器外观良好、工作正常</w:t>
            </w:r>
          </w:p>
        </w:tc>
      </w:tr>
      <w:tr w14:paraId="65021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4"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25DDEE1B">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5685BF93">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3D2F749B">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储瓶间环境良好，气体瓶组成储罐外观良好，检漏装置外观良好、运行状况</w:t>
            </w:r>
          </w:p>
        </w:tc>
      </w:tr>
      <w:tr w14:paraId="6CD117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7080F14D">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1AF9CE63">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3E941349">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容器阀、选择阀、驱动装置等组件外观良好</w:t>
            </w:r>
          </w:p>
        </w:tc>
      </w:tr>
      <w:tr w14:paraId="6B5119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2D32BED5">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6992DBF4">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4DD741AA">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紧急启/停按扭外观良好，喷嘴外观良好、防护区环境良好</w:t>
            </w:r>
          </w:p>
        </w:tc>
      </w:tr>
      <w:tr w14:paraId="7DC1F5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4"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0E74FDF0">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6856A4CF">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0024844E">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预制灭火装置外观良好、设置位置、安全阀等组件外观良好、运行正常</w:t>
            </w:r>
          </w:p>
        </w:tc>
      </w:tr>
      <w:tr w14:paraId="760167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1CF50D3C">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487CB081">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778085B3">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放气指示灯及警报器外观良好</w:t>
            </w:r>
          </w:p>
        </w:tc>
      </w:tr>
      <w:tr w14:paraId="5117CC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9"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6FB56E34">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58BB1774">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7BD7D936">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控制装置、安全阀等组件外观良好、运行正常</w:t>
            </w:r>
          </w:p>
        </w:tc>
      </w:tr>
      <w:tr w14:paraId="5D09CD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7D4CCBAE">
            <w:pPr>
              <w:spacing w:line="520" w:lineRule="exact"/>
              <w:jc w:val="center"/>
              <w:rPr>
                <w:rFonts w:ascii="仿宋" w:hAnsi="仿宋" w:eastAsia="仿宋"/>
                <w:color w:val="auto"/>
                <w:sz w:val="30"/>
                <w:szCs w:val="30"/>
              </w:rPr>
            </w:pPr>
            <w:r>
              <w:rPr>
                <w:rFonts w:hint="eastAsia" w:ascii="仿宋" w:hAnsi="仿宋" w:eastAsia="仿宋"/>
                <w:color w:val="auto"/>
                <w:sz w:val="30"/>
                <w:szCs w:val="30"/>
              </w:rPr>
              <w:t>9</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47A908EF">
            <w:pPr>
              <w:spacing w:line="520" w:lineRule="exact"/>
              <w:ind w:right="-109" w:rightChars="-52"/>
              <w:jc w:val="center"/>
              <w:rPr>
                <w:rFonts w:ascii="仿宋" w:hAnsi="仿宋" w:eastAsia="仿宋"/>
                <w:color w:val="auto"/>
                <w:sz w:val="30"/>
                <w:szCs w:val="30"/>
              </w:rPr>
            </w:pPr>
            <w:r>
              <w:rPr>
                <w:rFonts w:hint="eastAsia" w:ascii="仿宋" w:hAnsi="仿宋" w:eastAsia="仿宋"/>
                <w:color w:val="auto"/>
                <w:sz w:val="30"/>
                <w:szCs w:val="30"/>
              </w:rPr>
              <w:t>防烟、排烟系统</w:t>
            </w:r>
          </w:p>
        </w:tc>
        <w:tc>
          <w:tcPr>
            <w:tcW w:w="6960" w:type="dxa"/>
            <w:tcBorders>
              <w:top w:val="single" w:color="auto" w:sz="6" w:space="0"/>
              <w:left w:val="single" w:color="auto" w:sz="6" w:space="0"/>
              <w:bottom w:val="single" w:color="auto" w:sz="6" w:space="0"/>
              <w:right w:val="single" w:color="auto" w:sz="6" w:space="0"/>
            </w:tcBorders>
            <w:vAlign w:val="center"/>
          </w:tcPr>
          <w:p w14:paraId="21D7F780">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送风阀外观良好</w:t>
            </w:r>
          </w:p>
        </w:tc>
      </w:tr>
      <w:tr w14:paraId="222C91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79ABC0DD">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5F1D83AA">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22C86D85">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送风机及控制柜外观良好，运行正常</w:t>
            </w:r>
          </w:p>
        </w:tc>
      </w:tr>
      <w:tr w14:paraId="6B367D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4"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41FB9347">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5CB21EB6">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3725239A">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防火阀、排烟阀及其控制装置外观良好</w:t>
            </w:r>
          </w:p>
        </w:tc>
      </w:tr>
      <w:tr w14:paraId="7B7D37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1DC97FD2">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26AC8EA3">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20DE7C73">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排烟设施外观良好</w:t>
            </w:r>
          </w:p>
        </w:tc>
      </w:tr>
      <w:tr w14:paraId="7B9AEC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36A3F484">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36739025">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0E0FCB5A">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排烟机及控制柜外观良好及工作正常</w:t>
            </w:r>
          </w:p>
        </w:tc>
      </w:tr>
      <w:tr w14:paraId="7895C7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6A28EF7D">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59D03F96">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7EE84BE4">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送风、排烟机房环境良好</w:t>
            </w:r>
          </w:p>
        </w:tc>
      </w:tr>
      <w:tr w14:paraId="1B29D2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437F58F5">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28AC3C98">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3E104917">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送排风风机每月至少试机一次，运行时间不低于10分钟，并如实填写《风机运行记录》。</w:t>
            </w:r>
          </w:p>
        </w:tc>
      </w:tr>
      <w:tr w14:paraId="5DF6B0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8" w:hRule="atLeast"/>
        </w:trPr>
        <w:tc>
          <w:tcPr>
            <w:tcW w:w="570" w:type="dxa"/>
            <w:vMerge w:val="restart"/>
            <w:tcBorders>
              <w:top w:val="single" w:color="auto" w:sz="4" w:space="0"/>
              <w:left w:val="single" w:color="auto" w:sz="6" w:space="0"/>
              <w:bottom w:val="single" w:color="auto" w:sz="6" w:space="0"/>
              <w:right w:val="single" w:color="auto" w:sz="4" w:space="0"/>
            </w:tcBorders>
            <w:vAlign w:val="center"/>
          </w:tcPr>
          <w:p w14:paraId="49E85EB5">
            <w:pPr>
              <w:spacing w:line="520" w:lineRule="exact"/>
              <w:ind w:right="-109" w:rightChars="-52"/>
              <w:jc w:val="center"/>
              <w:rPr>
                <w:rFonts w:ascii="仿宋" w:hAnsi="仿宋" w:eastAsia="仿宋"/>
                <w:color w:val="auto"/>
                <w:sz w:val="30"/>
                <w:szCs w:val="30"/>
              </w:rPr>
            </w:pPr>
            <w:r>
              <w:rPr>
                <w:rFonts w:hint="eastAsia" w:ascii="仿宋" w:hAnsi="仿宋" w:eastAsia="仿宋"/>
                <w:color w:val="auto"/>
                <w:sz w:val="30"/>
                <w:szCs w:val="30"/>
              </w:rPr>
              <w:t>10</w:t>
            </w:r>
          </w:p>
        </w:tc>
        <w:tc>
          <w:tcPr>
            <w:tcW w:w="1485" w:type="dxa"/>
            <w:vMerge w:val="restart"/>
            <w:tcBorders>
              <w:top w:val="single" w:color="auto" w:sz="4" w:space="0"/>
              <w:left w:val="single" w:color="auto" w:sz="4" w:space="0"/>
              <w:bottom w:val="single" w:color="auto" w:sz="6" w:space="0"/>
              <w:right w:val="single" w:color="auto" w:sz="6" w:space="0"/>
            </w:tcBorders>
            <w:vAlign w:val="center"/>
          </w:tcPr>
          <w:p w14:paraId="1DF72BAF">
            <w:pPr>
              <w:spacing w:line="520" w:lineRule="exact"/>
              <w:ind w:right="-109" w:rightChars="-52"/>
              <w:jc w:val="center"/>
              <w:rPr>
                <w:rFonts w:ascii="仿宋" w:hAnsi="仿宋" w:eastAsia="仿宋"/>
                <w:color w:val="auto"/>
                <w:sz w:val="30"/>
                <w:szCs w:val="30"/>
              </w:rPr>
            </w:pPr>
            <w:r>
              <w:rPr>
                <w:rFonts w:hint="eastAsia" w:ascii="仿宋" w:hAnsi="仿宋" w:eastAsia="仿宋"/>
                <w:color w:val="auto"/>
                <w:sz w:val="30"/>
                <w:szCs w:val="30"/>
              </w:rPr>
              <w:t>应急照明和疏散指示标志</w:t>
            </w:r>
          </w:p>
        </w:tc>
        <w:tc>
          <w:tcPr>
            <w:tcW w:w="6960" w:type="dxa"/>
            <w:tcBorders>
              <w:top w:val="single" w:color="auto" w:sz="4" w:space="0"/>
              <w:left w:val="single" w:color="auto" w:sz="6" w:space="0"/>
              <w:bottom w:val="single" w:color="auto" w:sz="6" w:space="0"/>
              <w:right w:val="single" w:color="auto" w:sz="6" w:space="0"/>
            </w:tcBorders>
            <w:vAlign w:val="center"/>
          </w:tcPr>
          <w:p w14:paraId="5B478B9A">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应急灯具外观良好、工作正常</w:t>
            </w:r>
          </w:p>
        </w:tc>
      </w:tr>
      <w:tr w14:paraId="1ECC35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 w:hRule="atLeast"/>
        </w:trPr>
        <w:tc>
          <w:tcPr>
            <w:tcW w:w="570" w:type="dxa"/>
            <w:vMerge w:val="continue"/>
            <w:tcBorders>
              <w:top w:val="single" w:color="auto" w:sz="4" w:space="0"/>
              <w:left w:val="single" w:color="auto" w:sz="6" w:space="0"/>
              <w:bottom w:val="single" w:color="auto" w:sz="6" w:space="0"/>
              <w:right w:val="single" w:color="auto" w:sz="4" w:space="0"/>
            </w:tcBorders>
            <w:vAlign w:val="center"/>
          </w:tcPr>
          <w:p w14:paraId="7AEEB385">
            <w:pPr>
              <w:widowControl/>
              <w:spacing w:line="520" w:lineRule="exact"/>
              <w:jc w:val="left"/>
              <w:rPr>
                <w:rFonts w:ascii="仿宋" w:hAnsi="仿宋" w:eastAsia="仿宋"/>
                <w:color w:val="auto"/>
                <w:sz w:val="30"/>
                <w:szCs w:val="30"/>
              </w:rPr>
            </w:pPr>
          </w:p>
        </w:tc>
        <w:tc>
          <w:tcPr>
            <w:tcW w:w="1485" w:type="dxa"/>
            <w:vMerge w:val="continue"/>
            <w:tcBorders>
              <w:top w:val="single" w:color="auto" w:sz="4" w:space="0"/>
              <w:left w:val="single" w:color="auto" w:sz="4" w:space="0"/>
              <w:bottom w:val="single" w:color="auto" w:sz="6" w:space="0"/>
              <w:right w:val="single" w:color="auto" w:sz="6" w:space="0"/>
            </w:tcBorders>
            <w:vAlign w:val="center"/>
          </w:tcPr>
          <w:p w14:paraId="33BB0D24">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4DFF4110">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疏散指示标志外观良好、工作正常</w:t>
            </w:r>
          </w:p>
        </w:tc>
      </w:tr>
      <w:tr w14:paraId="596EBB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54" w:hRule="atLeast"/>
        </w:trPr>
        <w:tc>
          <w:tcPr>
            <w:tcW w:w="570" w:type="dxa"/>
            <w:vMerge w:val="continue"/>
            <w:tcBorders>
              <w:top w:val="single" w:color="auto" w:sz="4" w:space="0"/>
              <w:left w:val="single" w:color="auto" w:sz="6" w:space="0"/>
              <w:bottom w:val="single" w:color="auto" w:sz="6" w:space="0"/>
              <w:right w:val="single" w:color="auto" w:sz="4" w:space="0"/>
            </w:tcBorders>
            <w:vAlign w:val="center"/>
          </w:tcPr>
          <w:p w14:paraId="67E03733">
            <w:pPr>
              <w:widowControl/>
              <w:spacing w:line="520" w:lineRule="exact"/>
              <w:jc w:val="left"/>
              <w:rPr>
                <w:rFonts w:ascii="仿宋" w:hAnsi="仿宋" w:eastAsia="仿宋"/>
                <w:color w:val="auto"/>
                <w:sz w:val="30"/>
                <w:szCs w:val="30"/>
              </w:rPr>
            </w:pPr>
          </w:p>
        </w:tc>
        <w:tc>
          <w:tcPr>
            <w:tcW w:w="1485" w:type="dxa"/>
            <w:vMerge w:val="continue"/>
            <w:tcBorders>
              <w:top w:val="single" w:color="auto" w:sz="4" w:space="0"/>
              <w:left w:val="single" w:color="auto" w:sz="4" w:space="0"/>
              <w:bottom w:val="single" w:color="auto" w:sz="6" w:space="0"/>
              <w:right w:val="single" w:color="auto" w:sz="6" w:space="0"/>
            </w:tcBorders>
            <w:vAlign w:val="center"/>
          </w:tcPr>
          <w:p w14:paraId="03B2A2BA">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5549C729">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集中供电型应急照明灯具、疏散指示标志灯外观良好、工作正常；集中电源工作正常</w:t>
            </w:r>
          </w:p>
        </w:tc>
      </w:tr>
      <w:tr w14:paraId="555628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1" w:hRule="atLeast"/>
        </w:trPr>
        <w:tc>
          <w:tcPr>
            <w:tcW w:w="570" w:type="dxa"/>
            <w:vMerge w:val="continue"/>
            <w:tcBorders>
              <w:top w:val="single" w:color="auto" w:sz="4" w:space="0"/>
              <w:left w:val="single" w:color="auto" w:sz="6" w:space="0"/>
              <w:bottom w:val="single" w:color="auto" w:sz="6" w:space="0"/>
              <w:right w:val="single" w:color="auto" w:sz="4" w:space="0"/>
            </w:tcBorders>
            <w:vAlign w:val="center"/>
          </w:tcPr>
          <w:p w14:paraId="4523FB83">
            <w:pPr>
              <w:widowControl/>
              <w:spacing w:line="520" w:lineRule="exact"/>
              <w:jc w:val="left"/>
              <w:rPr>
                <w:rFonts w:ascii="仿宋" w:hAnsi="仿宋" w:eastAsia="仿宋"/>
                <w:color w:val="auto"/>
                <w:sz w:val="30"/>
                <w:szCs w:val="30"/>
              </w:rPr>
            </w:pPr>
          </w:p>
        </w:tc>
        <w:tc>
          <w:tcPr>
            <w:tcW w:w="1485" w:type="dxa"/>
            <w:vMerge w:val="continue"/>
            <w:tcBorders>
              <w:top w:val="single" w:color="auto" w:sz="4" w:space="0"/>
              <w:left w:val="single" w:color="auto" w:sz="4" w:space="0"/>
              <w:bottom w:val="single" w:color="auto" w:sz="6" w:space="0"/>
              <w:right w:val="single" w:color="auto" w:sz="6" w:space="0"/>
            </w:tcBorders>
            <w:vAlign w:val="center"/>
          </w:tcPr>
          <w:p w14:paraId="5669A1CC">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1EF88880">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应急照明灯具、疏散指示灯标志灯外观良好，工作正常</w:t>
            </w:r>
          </w:p>
        </w:tc>
      </w:tr>
      <w:tr w14:paraId="66D646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restart"/>
            <w:tcBorders>
              <w:top w:val="single" w:color="auto" w:sz="6" w:space="0"/>
              <w:left w:val="single" w:color="auto" w:sz="6" w:space="0"/>
              <w:bottom w:val="single" w:color="auto" w:sz="6" w:space="0"/>
              <w:right w:val="single" w:color="auto" w:sz="4" w:space="0"/>
            </w:tcBorders>
            <w:vAlign w:val="center"/>
          </w:tcPr>
          <w:p w14:paraId="56F02DC8">
            <w:pPr>
              <w:spacing w:line="520" w:lineRule="exact"/>
              <w:ind w:right="-109" w:rightChars="-52"/>
              <w:jc w:val="center"/>
              <w:rPr>
                <w:rFonts w:ascii="仿宋" w:hAnsi="仿宋" w:eastAsia="仿宋"/>
                <w:color w:val="auto"/>
                <w:sz w:val="30"/>
                <w:szCs w:val="30"/>
              </w:rPr>
            </w:pPr>
            <w:r>
              <w:rPr>
                <w:rFonts w:hint="eastAsia" w:ascii="仿宋" w:hAnsi="仿宋" w:eastAsia="仿宋"/>
                <w:color w:val="auto"/>
                <w:sz w:val="30"/>
                <w:szCs w:val="30"/>
              </w:rPr>
              <w:t>11</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6C2BEEC4">
            <w:pPr>
              <w:spacing w:line="520" w:lineRule="exact"/>
              <w:ind w:right="-109" w:rightChars="-52"/>
              <w:jc w:val="center"/>
              <w:rPr>
                <w:rFonts w:ascii="仿宋" w:hAnsi="仿宋" w:eastAsia="仿宋"/>
                <w:color w:val="auto"/>
                <w:sz w:val="30"/>
                <w:szCs w:val="30"/>
              </w:rPr>
            </w:pPr>
            <w:r>
              <w:rPr>
                <w:rFonts w:hint="eastAsia" w:ascii="仿宋" w:hAnsi="仿宋" w:eastAsia="仿宋"/>
                <w:color w:val="auto"/>
                <w:sz w:val="30"/>
                <w:szCs w:val="30"/>
              </w:rPr>
              <w:t>应急广播系统</w:t>
            </w:r>
          </w:p>
        </w:tc>
        <w:tc>
          <w:tcPr>
            <w:tcW w:w="6960" w:type="dxa"/>
            <w:tcBorders>
              <w:top w:val="single" w:color="auto" w:sz="6" w:space="0"/>
              <w:left w:val="single" w:color="auto" w:sz="6" w:space="0"/>
              <w:bottom w:val="single" w:color="auto" w:sz="6" w:space="0"/>
              <w:right w:val="single" w:color="auto" w:sz="6" w:space="0"/>
            </w:tcBorders>
            <w:vAlign w:val="center"/>
          </w:tcPr>
          <w:p w14:paraId="7D5D898E">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扬声器外观良好</w:t>
            </w:r>
          </w:p>
        </w:tc>
      </w:tr>
      <w:tr w14:paraId="670213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10531712">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75795485">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630ECBE2">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功放、卡座、分配盘外观良好良好，运行正常</w:t>
            </w:r>
          </w:p>
        </w:tc>
      </w:tr>
      <w:tr w14:paraId="7D7CC8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restart"/>
            <w:tcBorders>
              <w:top w:val="single" w:color="auto" w:sz="6" w:space="0"/>
              <w:left w:val="single" w:color="auto" w:sz="6" w:space="0"/>
              <w:bottom w:val="single" w:color="auto" w:sz="6" w:space="0"/>
              <w:right w:val="single" w:color="auto" w:sz="4" w:space="0"/>
            </w:tcBorders>
            <w:vAlign w:val="center"/>
          </w:tcPr>
          <w:p w14:paraId="409A89D2">
            <w:pPr>
              <w:spacing w:line="520" w:lineRule="exact"/>
              <w:ind w:right="-109" w:rightChars="-52"/>
              <w:jc w:val="center"/>
              <w:rPr>
                <w:rFonts w:ascii="仿宋" w:hAnsi="仿宋" w:eastAsia="仿宋"/>
                <w:color w:val="auto"/>
                <w:sz w:val="30"/>
                <w:szCs w:val="30"/>
              </w:rPr>
            </w:pPr>
            <w:r>
              <w:rPr>
                <w:rFonts w:hint="eastAsia" w:ascii="仿宋" w:hAnsi="仿宋" w:eastAsia="仿宋"/>
                <w:color w:val="auto"/>
                <w:sz w:val="30"/>
                <w:szCs w:val="30"/>
              </w:rPr>
              <w:t>12</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19882219">
            <w:pPr>
              <w:spacing w:line="520" w:lineRule="exact"/>
              <w:ind w:right="-109" w:rightChars="-52"/>
              <w:jc w:val="center"/>
              <w:rPr>
                <w:rFonts w:ascii="仿宋" w:hAnsi="仿宋" w:eastAsia="仿宋"/>
                <w:color w:val="auto"/>
                <w:sz w:val="30"/>
                <w:szCs w:val="30"/>
              </w:rPr>
            </w:pPr>
            <w:r>
              <w:rPr>
                <w:rFonts w:hint="eastAsia" w:ascii="仿宋" w:hAnsi="仿宋" w:eastAsia="仿宋"/>
                <w:color w:val="auto"/>
                <w:sz w:val="30"/>
                <w:szCs w:val="30"/>
              </w:rPr>
              <w:t>消防专用电话</w:t>
            </w:r>
          </w:p>
        </w:tc>
        <w:tc>
          <w:tcPr>
            <w:tcW w:w="6960" w:type="dxa"/>
            <w:tcBorders>
              <w:top w:val="single" w:color="auto" w:sz="6" w:space="0"/>
              <w:left w:val="single" w:color="auto" w:sz="6" w:space="0"/>
              <w:bottom w:val="single" w:color="auto" w:sz="6" w:space="0"/>
              <w:right w:val="single" w:color="auto" w:sz="6" w:space="0"/>
            </w:tcBorders>
            <w:vAlign w:val="center"/>
          </w:tcPr>
          <w:p w14:paraId="4BDE1C0D">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消防电话主机外观正常、工作正常</w:t>
            </w:r>
          </w:p>
        </w:tc>
      </w:tr>
      <w:tr w14:paraId="6975B2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68939CAE">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7A94453E">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0A28F3D0">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分机电话外观良好，电话插孔外观良好，插孔电话机外观良好，通话功能正常</w:t>
            </w:r>
          </w:p>
        </w:tc>
      </w:tr>
      <w:tr w14:paraId="36F6DA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restart"/>
            <w:tcBorders>
              <w:top w:val="single" w:color="auto" w:sz="4" w:space="0"/>
              <w:left w:val="single" w:color="auto" w:sz="6" w:space="0"/>
              <w:bottom w:val="single" w:color="auto" w:sz="6" w:space="0"/>
              <w:right w:val="single" w:color="auto" w:sz="4" w:space="0"/>
            </w:tcBorders>
            <w:vAlign w:val="center"/>
          </w:tcPr>
          <w:p w14:paraId="480D35FB">
            <w:pPr>
              <w:spacing w:line="520" w:lineRule="exact"/>
              <w:ind w:right="-109" w:rightChars="-52"/>
              <w:jc w:val="center"/>
              <w:rPr>
                <w:rFonts w:ascii="仿宋" w:hAnsi="仿宋" w:eastAsia="仿宋"/>
                <w:color w:val="auto"/>
                <w:sz w:val="30"/>
                <w:szCs w:val="30"/>
              </w:rPr>
            </w:pPr>
            <w:r>
              <w:rPr>
                <w:rFonts w:hint="eastAsia" w:ascii="仿宋" w:hAnsi="仿宋" w:eastAsia="仿宋"/>
                <w:color w:val="auto"/>
                <w:sz w:val="30"/>
                <w:szCs w:val="30"/>
              </w:rPr>
              <w:t>13</w:t>
            </w:r>
          </w:p>
        </w:tc>
        <w:tc>
          <w:tcPr>
            <w:tcW w:w="1485" w:type="dxa"/>
            <w:vMerge w:val="restart"/>
            <w:tcBorders>
              <w:top w:val="single" w:color="auto" w:sz="4" w:space="0"/>
              <w:left w:val="single" w:color="auto" w:sz="4" w:space="0"/>
              <w:bottom w:val="single" w:color="auto" w:sz="6" w:space="0"/>
              <w:right w:val="single" w:color="auto" w:sz="6" w:space="0"/>
            </w:tcBorders>
            <w:vAlign w:val="center"/>
          </w:tcPr>
          <w:p w14:paraId="36F54193">
            <w:pPr>
              <w:spacing w:line="520" w:lineRule="exact"/>
              <w:ind w:right="-109" w:rightChars="-52"/>
              <w:jc w:val="center"/>
              <w:rPr>
                <w:rFonts w:ascii="仿宋" w:hAnsi="仿宋" w:eastAsia="仿宋"/>
                <w:color w:val="auto"/>
                <w:sz w:val="30"/>
                <w:szCs w:val="30"/>
              </w:rPr>
            </w:pPr>
            <w:r>
              <w:rPr>
                <w:rFonts w:hint="eastAsia" w:ascii="仿宋" w:hAnsi="仿宋" w:eastAsia="仿宋"/>
                <w:color w:val="auto"/>
                <w:sz w:val="30"/>
                <w:szCs w:val="30"/>
              </w:rPr>
              <w:t>防火分隔设施</w:t>
            </w:r>
          </w:p>
        </w:tc>
        <w:tc>
          <w:tcPr>
            <w:tcW w:w="6960" w:type="dxa"/>
            <w:tcBorders>
              <w:top w:val="single" w:color="auto" w:sz="6" w:space="0"/>
              <w:left w:val="single" w:color="auto" w:sz="6" w:space="0"/>
              <w:bottom w:val="single" w:color="auto" w:sz="6" w:space="0"/>
              <w:right w:val="single" w:color="auto" w:sz="6" w:space="0"/>
            </w:tcBorders>
            <w:vAlign w:val="center"/>
          </w:tcPr>
          <w:p w14:paraId="7A920B11">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防火门外观良好，配件完整，防火门启闭状况正常，周围环境良好</w:t>
            </w:r>
          </w:p>
        </w:tc>
      </w:tr>
      <w:tr w14:paraId="46CAE6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4" w:space="0"/>
              <w:left w:val="single" w:color="auto" w:sz="6" w:space="0"/>
              <w:bottom w:val="single" w:color="auto" w:sz="6" w:space="0"/>
              <w:right w:val="single" w:color="auto" w:sz="4" w:space="0"/>
            </w:tcBorders>
            <w:vAlign w:val="center"/>
          </w:tcPr>
          <w:p w14:paraId="17DD30FC">
            <w:pPr>
              <w:widowControl/>
              <w:spacing w:line="520" w:lineRule="exact"/>
              <w:jc w:val="left"/>
              <w:rPr>
                <w:rFonts w:ascii="仿宋" w:hAnsi="仿宋" w:eastAsia="仿宋"/>
                <w:color w:val="auto"/>
                <w:sz w:val="30"/>
                <w:szCs w:val="30"/>
              </w:rPr>
            </w:pPr>
          </w:p>
        </w:tc>
        <w:tc>
          <w:tcPr>
            <w:tcW w:w="1485" w:type="dxa"/>
            <w:vMerge w:val="continue"/>
            <w:tcBorders>
              <w:top w:val="single" w:color="auto" w:sz="4" w:space="0"/>
              <w:left w:val="single" w:color="auto" w:sz="4" w:space="0"/>
              <w:bottom w:val="single" w:color="auto" w:sz="6" w:space="0"/>
              <w:right w:val="single" w:color="auto" w:sz="6" w:space="0"/>
            </w:tcBorders>
            <w:vAlign w:val="center"/>
          </w:tcPr>
          <w:p w14:paraId="5135ADB6">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5A4758C5">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防火卷帘外观良好配件完整，防火卷帘控制装置外观良好，工作正常</w:t>
            </w:r>
          </w:p>
        </w:tc>
      </w:tr>
      <w:tr w14:paraId="78B317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4" w:space="0"/>
              <w:left w:val="single" w:color="auto" w:sz="6" w:space="0"/>
              <w:bottom w:val="single" w:color="auto" w:sz="6" w:space="0"/>
              <w:right w:val="single" w:color="auto" w:sz="4" w:space="0"/>
            </w:tcBorders>
            <w:vAlign w:val="center"/>
          </w:tcPr>
          <w:p w14:paraId="7F7AD3E4">
            <w:pPr>
              <w:widowControl/>
              <w:spacing w:line="520" w:lineRule="exact"/>
              <w:jc w:val="left"/>
              <w:rPr>
                <w:rFonts w:ascii="仿宋" w:hAnsi="仿宋" w:eastAsia="仿宋"/>
                <w:color w:val="auto"/>
                <w:sz w:val="30"/>
                <w:szCs w:val="30"/>
              </w:rPr>
            </w:pPr>
          </w:p>
        </w:tc>
        <w:tc>
          <w:tcPr>
            <w:tcW w:w="1485" w:type="dxa"/>
            <w:vMerge w:val="continue"/>
            <w:tcBorders>
              <w:top w:val="single" w:color="auto" w:sz="4" w:space="0"/>
              <w:left w:val="single" w:color="auto" w:sz="4" w:space="0"/>
              <w:bottom w:val="single" w:color="auto" w:sz="6" w:space="0"/>
              <w:right w:val="single" w:color="auto" w:sz="6" w:space="0"/>
            </w:tcBorders>
            <w:vAlign w:val="center"/>
          </w:tcPr>
          <w:p w14:paraId="58667585">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6E8D5F18">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防火封堵外观良好</w:t>
            </w:r>
          </w:p>
        </w:tc>
      </w:tr>
      <w:tr w14:paraId="6DBB82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9" w:hRule="atLeast"/>
        </w:trPr>
        <w:tc>
          <w:tcPr>
            <w:tcW w:w="570" w:type="dxa"/>
            <w:vMerge w:val="restart"/>
            <w:tcBorders>
              <w:top w:val="single" w:color="auto" w:sz="6" w:space="0"/>
              <w:left w:val="single" w:color="auto" w:sz="6" w:space="0"/>
              <w:bottom w:val="single" w:color="auto" w:sz="6" w:space="0"/>
              <w:right w:val="single" w:color="auto" w:sz="4" w:space="0"/>
            </w:tcBorders>
            <w:vAlign w:val="center"/>
          </w:tcPr>
          <w:p w14:paraId="47C8BF4B">
            <w:pPr>
              <w:spacing w:line="520" w:lineRule="exact"/>
              <w:ind w:right="-109" w:rightChars="-52"/>
              <w:jc w:val="center"/>
              <w:rPr>
                <w:rFonts w:ascii="仿宋" w:hAnsi="仿宋" w:eastAsia="仿宋"/>
                <w:color w:val="auto"/>
                <w:sz w:val="30"/>
                <w:szCs w:val="30"/>
              </w:rPr>
            </w:pPr>
            <w:r>
              <w:rPr>
                <w:rFonts w:hint="eastAsia" w:ascii="仿宋" w:hAnsi="仿宋" w:eastAsia="仿宋"/>
                <w:color w:val="auto"/>
                <w:sz w:val="30"/>
                <w:szCs w:val="30"/>
              </w:rPr>
              <w:t>14</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21CFF63F">
            <w:pPr>
              <w:spacing w:line="520" w:lineRule="exact"/>
              <w:ind w:right="-109" w:rightChars="-52"/>
              <w:jc w:val="center"/>
              <w:rPr>
                <w:rFonts w:ascii="仿宋" w:hAnsi="仿宋" w:eastAsia="仿宋"/>
                <w:color w:val="auto"/>
                <w:sz w:val="30"/>
                <w:szCs w:val="30"/>
              </w:rPr>
            </w:pPr>
            <w:r>
              <w:rPr>
                <w:rFonts w:hint="eastAsia" w:ascii="仿宋" w:hAnsi="仿宋" w:eastAsia="仿宋"/>
                <w:color w:val="auto"/>
                <w:sz w:val="30"/>
                <w:szCs w:val="30"/>
              </w:rPr>
              <w:t>消防电梯</w:t>
            </w:r>
          </w:p>
        </w:tc>
        <w:tc>
          <w:tcPr>
            <w:tcW w:w="6960" w:type="dxa"/>
            <w:tcBorders>
              <w:top w:val="single" w:color="auto" w:sz="6" w:space="0"/>
              <w:left w:val="single" w:color="auto" w:sz="6" w:space="0"/>
              <w:bottom w:val="single" w:color="auto" w:sz="6" w:space="0"/>
              <w:right w:val="single" w:color="auto" w:sz="6" w:space="0"/>
            </w:tcBorders>
            <w:vAlign w:val="center"/>
          </w:tcPr>
          <w:p w14:paraId="4D4F5EAA">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紧急按钮外观良好，轿箱内电话外观良好，通话功能正常</w:t>
            </w:r>
          </w:p>
        </w:tc>
      </w:tr>
      <w:tr w14:paraId="470DAE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418E9A15">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4A49317E">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369C6CE9">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电梯井排水设施外观良好，工作正常</w:t>
            </w:r>
          </w:p>
        </w:tc>
      </w:tr>
      <w:tr w14:paraId="187938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570" w:type="dxa"/>
            <w:vMerge w:val="continue"/>
            <w:tcBorders>
              <w:top w:val="single" w:color="auto" w:sz="6" w:space="0"/>
              <w:left w:val="single" w:color="auto" w:sz="6" w:space="0"/>
              <w:bottom w:val="single" w:color="auto" w:sz="6" w:space="0"/>
              <w:right w:val="single" w:color="auto" w:sz="4" w:space="0"/>
            </w:tcBorders>
            <w:vAlign w:val="center"/>
          </w:tcPr>
          <w:p w14:paraId="1A215A96">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1CA096C0">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393912ED">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消防电梯工作正常</w:t>
            </w:r>
          </w:p>
        </w:tc>
      </w:tr>
      <w:tr w14:paraId="0CC100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restart"/>
            <w:tcBorders>
              <w:top w:val="single" w:color="auto" w:sz="6" w:space="0"/>
              <w:left w:val="single" w:color="auto" w:sz="6" w:space="0"/>
              <w:bottom w:val="single" w:color="auto" w:sz="6" w:space="0"/>
              <w:right w:val="single" w:color="auto" w:sz="4" w:space="0"/>
            </w:tcBorders>
            <w:vAlign w:val="center"/>
          </w:tcPr>
          <w:p w14:paraId="7B92A9EA">
            <w:pPr>
              <w:spacing w:line="520" w:lineRule="exact"/>
              <w:ind w:right="-109" w:rightChars="-52"/>
              <w:jc w:val="center"/>
              <w:rPr>
                <w:rFonts w:ascii="仿宋" w:hAnsi="仿宋" w:eastAsia="仿宋"/>
                <w:color w:val="auto"/>
                <w:sz w:val="30"/>
                <w:szCs w:val="30"/>
              </w:rPr>
            </w:pPr>
            <w:r>
              <w:rPr>
                <w:rFonts w:hint="eastAsia" w:ascii="仿宋" w:hAnsi="仿宋" w:eastAsia="仿宋"/>
                <w:color w:val="auto"/>
                <w:sz w:val="30"/>
                <w:szCs w:val="30"/>
              </w:rPr>
              <w:t>15</w:t>
            </w:r>
          </w:p>
        </w:tc>
        <w:tc>
          <w:tcPr>
            <w:tcW w:w="1485" w:type="dxa"/>
            <w:vMerge w:val="restart"/>
            <w:tcBorders>
              <w:top w:val="single" w:color="auto" w:sz="6" w:space="0"/>
              <w:left w:val="single" w:color="auto" w:sz="4" w:space="0"/>
              <w:bottom w:val="single" w:color="auto" w:sz="6" w:space="0"/>
              <w:right w:val="single" w:color="auto" w:sz="6" w:space="0"/>
            </w:tcBorders>
            <w:vAlign w:val="center"/>
          </w:tcPr>
          <w:p w14:paraId="275A46B3">
            <w:pPr>
              <w:spacing w:line="520" w:lineRule="exact"/>
              <w:ind w:right="-109" w:rightChars="-52"/>
              <w:jc w:val="center"/>
              <w:rPr>
                <w:rFonts w:ascii="仿宋" w:hAnsi="仿宋" w:eastAsia="仿宋"/>
                <w:color w:val="auto"/>
                <w:sz w:val="30"/>
                <w:szCs w:val="30"/>
              </w:rPr>
            </w:pPr>
            <w:r>
              <w:rPr>
                <w:rFonts w:hint="eastAsia" w:ascii="仿宋" w:hAnsi="仿宋" w:eastAsia="仿宋"/>
                <w:color w:val="auto"/>
                <w:sz w:val="30"/>
                <w:szCs w:val="30"/>
              </w:rPr>
              <w:t>灭火器</w:t>
            </w:r>
          </w:p>
        </w:tc>
        <w:tc>
          <w:tcPr>
            <w:tcW w:w="6960" w:type="dxa"/>
            <w:tcBorders>
              <w:top w:val="single" w:color="auto" w:sz="6" w:space="0"/>
              <w:left w:val="single" w:color="auto" w:sz="6" w:space="0"/>
              <w:bottom w:val="single" w:color="auto" w:sz="6" w:space="0"/>
              <w:right w:val="single" w:color="auto" w:sz="6" w:space="0"/>
            </w:tcBorders>
            <w:vAlign w:val="center"/>
          </w:tcPr>
          <w:p w14:paraId="7C536323">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灭火器外观良好</w:t>
            </w:r>
          </w:p>
        </w:tc>
      </w:tr>
      <w:tr w14:paraId="5CBB58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23CC5605">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22D17E8F">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40833D52">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灭火器配备数量正常</w:t>
            </w:r>
          </w:p>
        </w:tc>
      </w:tr>
      <w:tr w14:paraId="1750FF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6D16E1A2">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0CFE8ADC">
            <w:pPr>
              <w:widowControl/>
              <w:spacing w:line="520" w:lineRule="exact"/>
              <w:jc w:val="left"/>
              <w:rPr>
                <w:rFonts w:ascii="仿宋" w:hAnsi="仿宋" w:eastAsia="仿宋"/>
                <w:color w:val="auto"/>
                <w:sz w:val="30"/>
                <w:szCs w:val="30"/>
              </w:rPr>
            </w:pPr>
          </w:p>
        </w:tc>
        <w:tc>
          <w:tcPr>
            <w:tcW w:w="6960" w:type="dxa"/>
            <w:tcBorders>
              <w:top w:val="single" w:color="auto" w:sz="4" w:space="0"/>
              <w:left w:val="single" w:color="auto" w:sz="6" w:space="0"/>
              <w:bottom w:val="single" w:color="auto" w:sz="6" w:space="0"/>
              <w:right w:val="single" w:color="auto" w:sz="6" w:space="0"/>
            </w:tcBorders>
            <w:vAlign w:val="center"/>
          </w:tcPr>
          <w:p w14:paraId="5B4C240E">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灭火器压力显示正常、维修标示齐备</w:t>
            </w:r>
          </w:p>
        </w:tc>
      </w:tr>
      <w:tr w14:paraId="30E00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570" w:type="dxa"/>
            <w:vMerge w:val="continue"/>
            <w:tcBorders>
              <w:top w:val="single" w:color="auto" w:sz="6" w:space="0"/>
              <w:left w:val="single" w:color="auto" w:sz="6" w:space="0"/>
              <w:bottom w:val="single" w:color="auto" w:sz="6" w:space="0"/>
              <w:right w:val="single" w:color="auto" w:sz="4" w:space="0"/>
            </w:tcBorders>
            <w:vAlign w:val="center"/>
          </w:tcPr>
          <w:p w14:paraId="71DC1AAC">
            <w:pPr>
              <w:widowControl/>
              <w:spacing w:line="520" w:lineRule="exact"/>
              <w:jc w:val="left"/>
              <w:rPr>
                <w:rFonts w:ascii="仿宋" w:hAnsi="仿宋" w:eastAsia="仿宋"/>
                <w:color w:val="auto"/>
                <w:sz w:val="30"/>
                <w:szCs w:val="30"/>
              </w:rPr>
            </w:pPr>
          </w:p>
        </w:tc>
        <w:tc>
          <w:tcPr>
            <w:tcW w:w="1485" w:type="dxa"/>
            <w:vMerge w:val="continue"/>
            <w:tcBorders>
              <w:top w:val="single" w:color="auto" w:sz="6" w:space="0"/>
              <w:left w:val="single" w:color="auto" w:sz="4" w:space="0"/>
              <w:bottom w:val="single" w:color="auto" w:sz="6" w:space="0"/>
              <w:right w:val="single" w:color="auto" w:sz="6" w:space="0"/>
            </w:tcBorders>
            <w:vAlign w:val="center"/>
          </w:tcPr>
          <w:p w14:paraId="1A2994B1">
            <w:pPr>
              <w:widowControl/>
              <w:spacing w:line="520" w:lineRule="exact"/>
              <w:jc w:val="left"/>
              <w:rPr>
                <w:rFonts w:ascii="仿宋" w:hAnsi="仿宋" w:eastAsia="仿宋"/>
                <w:color w:val="auto"/>
                <w:sz w:val="30"/>
                <w:szCs w:val="30"/>
              </w:rPr>
            </w:pPr>
          </w:p>
        </w:tc>
        <w:tc>
          <w:tcPr>
            <w:tcW w:w="6960" w:type="dxa"/>
            <w:tcBorders>
              <w:top w:val="single" w:color="auto" w:sz="6" w:space="0"/>
              <w:left w:val="single" w:color="auto" w:sz="6" w:space="0"/>
              <w:bottom w:val="single" w:color="auto" w:sz="6" w:space="0"/>
              <w:right w:val="single" w:color="auto" w:sz="6" w:space="0"/>
            </w:tcBorders>
            <w:vAlign w:val="center"/>
          </w:tcPr>
          <w:p w14:paraId="2E8E7A7C">
            <w:pPr>
              <w:spacing w:line="520" w:lineRule="exact"/>
              <w:ind w:right="-109" w:rightChars="-52"/>
              <w:rPr>
                <w:rFonts w:ascii="仿宋" w:hAnsi="仿宋" w:eastAsia="仿宋"/>
                <w:color w:val="auto"/>
                <w:sz w:val="30"/>
                <w:szCs w:val="30"/>
              </w:rPr>
            </w:pPr>
            <w:r>
              <w:rPr>
                <w:rFonts w:hint="eastAsia" w:ascii="仿宋" w:hAnsi="仿宋" w:eastAsia="仿宋"/>
                <w:color w:val="auto"/>
                <w:sz w:val="30"/>
                <w:szCs w:val="30"/>
              </w:rPr>
              <w:t>设置位置正常</w:t>
            </w:r>
          </w:p>
        </w:tc>
      </w:tr>
    </w:tbl>
    <w:p w14:paraId="09D4AAA6">
      <w:pPr>
        <w:spacing w:line="520" w:lineRule="exact"/>
        <w:rPr>
          <w:rFonts w:ascii="仿宋" w:hAnsi="仿宋" w:eastAsia="仿宋"/>
          <w:bCs/>
          <w:color w:val="auto"/>
          <w:sz w:val="30"/>
          <w:szCs w:val="30"/>
        </w:rPr>
      </w:pPr>
      <w:r>
        <w:rPr>
          <w:rFonts w:hint="eastAsia" w:ascii="仿宋" w:hAnsi="仿宋" w:eastAsia="仿宋"/>
          <w:bCs/>
          <w:color w:val="auto"/>
          <w:sz w:val="30"/>
          <w:szCs w:val="30"/>
        </w:rPr>
        <w:t>（三）巡查记录参考</w:t>
      </w:r>
      <w:r>
        <w:rPr>
          <w:rFonts w:hint="eastAsia" w:ascii="仿宋" w:hAnsi="仿宋" w:eastAsia="仿宋" w:cs="宋体"/>
          <w:bCs/>
          <w:color w:val="auto"/>
          <w:sz w:val="30"/>
          <w:szCs w:val="30"/>
        </w:rPr>
        <w:t>《消防维护检查记录表》</w:t>
      </w:r>
      <w:r>
        <w:rPr>
          <w:rFonts w:hint="eastAsia" w:ascii="仿宋" w:hAnsi="仿宋" w:eastAsia="仿宋"/>
          <w:bCs/>
          <w:color w:val="auto"/>
          <w:sz w:val="30"/>
          <w:szCs w:val="30"/>
        </w:rPr>
        <w:t>相关要求。</w:t>
      </w:r>
    </w:p>
    <w:p w14:paraId="38877BD9">
      <w:pPr>
        <w:spacing w:line="520" w:lineRule="exact"/>
        <w:ind w:firstLine="300" w:firstLineChars="100"/>
        <w:rPr>
          <w:rFonts w:ascii="仿宋" w:hAnsi="仿宋" w:eastAsia="仿宋"/>
          <w:color w:val="auto"/>
          <w:sz w:val="30"/>
          <w:szCs w:val="30"/>
        </w:rPr>
      </w:pPr>
      <w:r>
        <w:rPr>
          <w:rFonts w:hint="eastAsia" w:ascii="仿宋" w:hAnsi="仿宋" w:eastAsia="仿宋"/>
          <w:bCs/>
          <w:color w:val="auto"/>
          <w:sz w:val="30"/>
          <w:szCs w:val="30"/>
        </w:rPr>
        <w:t>二</w:t>
      </w:r>
      <w:r>
        <w:rPr>
          <w:rFonts w:hint="eastAsia" w:ascii="仿宋" w:hAnsi="仿宋" w:eastAsia="仿宋"/>
          <w:color w:val="auto"/>
          <w:sz w:val="30"/>
          <w:szCs w:val="30"/>
        </w:rPr>
        <w:t>、检测</w:t>
      </w:r>
    </w:p>
    <w:p w14:paraId="7D505084">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（一） 一般要求</w:t>
      </w:r>
    </w:p>
    <w:p w14:paraId="74090292">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1、基础、通用类每年至少检测一次；高端类每季度至少检测一次；检测对象包括全部系统设备、组件等；</w:t>
      </w:r>
    </w:p>
    <w:p w14:paraId="3E57F90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2、消防设施设备检测的人员，应当通过消防行业特有工种职业技能鉴定，持有高级技能以上等级职业资格证书。</w:t>
      </w:r>
    </w:p>
    <w:p w14:paraId="5D89C48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消防设施设备检测由外委消防维保单位进行并如实填写《消防维护检查记录表》的相关内容；外委消防维保单位实施维修、整改措施；物业服务中心消防设备管理员负责跟踪，监督；服务管理中心消防工程师负责技术支持及对检测结果评估，协助制定维修、整改方案。</w:t>
      </w:r>
    </w:p>
    <w:p w14:paraId="57BD5507">
      <w:pPr>
        <w:spacing w:line="520" w:lineRule="exact"/>
        <w:ind w:firstLine="600" w:firstLineChars="200"/>
        <w:rPr>
          <w:rFonts w:ascii="仿宋" w:hAnsi="仿宋" w:eastAsia="仿宋"/>
          <w:color w:val="auto"/>
          <w:sz w:val="30"/>
          <w:szCs w:val="30"/>
        </w:rPr>
      </w:pPr>
      <w:r>
        <w:rPr>
          <w:rFonts w:hint="eastAsia" w:ascii="仿宋" w:hAnsi="仿宋" w:eastAsia="仿宋"/>
          <w:bCs/>
          <w:color w:val="auto"/>
          <w:sz w:val="30"/>
          <w:szCs w:val="30"/>
        </w:rPr>
        <w:t>（二）检测内容</w:t>
      </w:r>
    </w:p>
    <w:p w14:paraId="7392F3B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1、消防供配电设施的检测内容部分。</w:t>
      </w:r>
    </w:p>
    <w:p w14:paraId="4838880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（1）消防设备配电箱应有区别于其他配电箱的明显标志，不同消防设备的配电箱应有明显区分标识。配电箱上的仪表、指示灯的显示应正常，开关及控制按钮应灵活可靠。</w:t>
      </w:r>
    </w:p>
    <w:p w14:paraId="1C6AFC8B">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（2）切换备用电源的控制方式及操作程序应符合设计要求。</w:t>
      </w:r>
    </w:p>
    <w:p w14:paraId="2D5010A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（3）自备发电机组</w:t>
      </w:r>
    </w:p>
    <w:p w14:paraId="0ADAD5A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A、发电机：仪表、指示灯及开关按钮等应完好，显示应正常。自动启动并达到额定转速并发电的时间不应大于30s，发电机运行及输出功率、电压、频率、相位的显示均应正常。机房通风设施运行正常。</w:t>
      </w:r>
    </w:p>
    <w:p w14:paraId="64E3293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B、储油设施：储油箱内的油量应能满足发电机运行4－8小时的用量，油位显示应正常。</w:t>
      </w:r>
    </w:p>
    <w:p w14:paraId="3E1BCAB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燃油标号应正确。</w:t>
      </w:r>
    </w:p>
    <w:p w14:paraId="39DE78B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2、火灾自动报警系统的检测内容部分</w:t>
      </w:r>
    </w:p>
    <w:p w14:paraId="684BBAF4">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（1）火灾探测器</w:t>
      </w:r>
    </w:p>
    <w:p w14:paraId="11E6C53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A、点型感烟探测器：应在试验烟气作用下动作，向火灾报警控制器输出火警信号，并启动探测器报警确认灯；探测器报警确认灯应在手动复位前予以保持。</w:t>
      </w:r>
    </w:p>
    <w:p w14:paraId="0D068E49">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B、线型光束感烟探测器：当对射光束的减光值达到1.0dB～10dB时，应在30s内向火灾报警控制器输出火警信号，启动探测器报警确认灯。</w:t>
      </w:r>
    </w:p>
    <w:p w14:paraId="4805659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C、点型、线型感温探测器：应在试验热源作用下动作，向火灾报警控制器输出火警信号；点型探测器报警应启动探测器报警确认灯，并应在手动复位前予以保持。</w:t>
      </w:r>
    </w:p>
    <w:p w14:paraId="0F499F39">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D、火焰（或感光）探测器：应在试验光源作用下，在规定的响应时间内动作，并向火灾报警控制器输出火警信号；具有报警确认灯的探测器应同时启动报警确认灯，并应在手动复位前予以保持。</w:t>
      </w:r>
    </w:p>
    <w:p w14:paraId="1A715A2A">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（2）手动报警按钮：</w:t>
      </w:r>
    </w:p>
    <w:p w14:paraId="6339006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被触发时，应向报警控制器输出火警信号，同时启动按钮的报警确认灯；应能手动复位。</w:t>
      </w:r>
    </w:p>
    <w:p w14:paraId="669D804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（3）火灾报警控制器</w:t>
      </w:r>
    </w:p>
    <w:p w14:paraId="57B2BC1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火灾报警控制器（区域、集中、通用）：能直接或间接地接收来自火灾探测器及其他火灾报警触发器件的火灾报警信号，发出声、光报警信号，指示火灾发生部位，并予保持；光报警信号在火灾报警控制器复位之前应不能手动消除；声报警信号应能手动消除，但再次有火灾报警信号输入时，应能再启动。当火灾报警控制器内部，火灾报警控制器与火灾探测器、火灾报警控制器与起传输火灾报警信号作用的部件间发生下述故障时，应能在100 s内发出与火灾报警信号有明显区别的声、光故障信号；</w:t>
      </w:r>
    </w:p>
    <w:p w14:paraId="710D05C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B、火灾报警控制器应有本机检查功能，火灾报警控制器在执行自检功能时，应切断受其控制的外接设备。如火灾报警控制器进行每次自检所需时间超过l min或其不能自动停止自检功能，自检期间，如非自检回路有火灾报警信号输入，火灾报警控制器应能发出火灾报警声、光信号。</w:t>
      </w:r>
    </w:p>
    <w:p w14:paraId="2CC9E4B9">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C、火灾报警控制器应具有显示或记录火灾报警时间的计时装置，其日计时误差不超过30s；仅使用打印机记录火灾报警时间时，应打印出月、日、时、分等信息。</w:t>
      </w:r>
    </w:p>
    <w:p w14:paraId="68266C6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D、火灾报警控制器应能对其面板上的所有指示灯、显示器进行功能检查。</w:t>
      </w:r>
    </w:p>
    <w:p w14:paraId="5CE16E2B">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E、主电源断电时应自动转换至备用电源供电，主电源恢复后应自动转换为主电源供电，并应分别显示主、备电源的状态。</w:t>
      </w:r>
    </w:p>
    <w:p w14:paraId="6C60C144">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（4）火灾显示盘：能接收来自火灾报警控制器的火灾报警信号，发出声、光报警信号，指 示火灾发生部位，并予保持；光报警信号在火灾报警控制器复位之前不能手动消除；声报警信号应能手动消除，并有消音指示，但再次有火灾报警信号输入时， 应能再启动。</w:t>
      </w:r>
    </w:p>
    <w:p w14:paraId="5E9BA6C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（5）消防联动控制设备：消防联动控制设备与输入/输出模块间的连线发生断路、短路时，应能在100s内发出与火灾报警信号有明显区别的声、光故障信号。</w:t>
      </w:r>
    </w:p>
    <w:p w14:paraId="74AF214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（6）可燃气体报警控制器：</w:t>
      </w:r>
    </w:p>
    <w:p w14:paraId="199AD61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A、可燃气体报警控制器应具备报警功能、故障报警功能、本机自检功能、显示与计时功能等；</w:t>
      </w:r>
    </w:p>
    <w:p w14:paraId="583F7C8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B、主电源断电时应自动转换至备用电源供电，主电源恢复后应自动转换为主电源供电，并应分别显示主、备电源状态。</w:t>
      </w:r>
    </w:p>
    <w:p w14:paraId="69888E7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（7）火灾警报装置：应在接收火灾报警控制器输出的控制信号后，发出声警报或声、光警报。环境噪声大于60dB的场所，声警报的声压级应高于背景噪声15dB。</w:t>
      </w:r>
    </w:p>
    <w:p w14:paraId="7BA55CA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3、消防供水设施的检测内容部分</w:t>
      </w:r>
    </w:p>
    <w:p w14:paraId="578C3CC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（1）消防水池：水位及消防用水不被他用的设施应正常，补水设施应正常，寒冷地区防冻措施完好。</w:t>
      </w:r>
    </w:p>
    <w:p w14:paraId="36A37C2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（2）消防水箱：水位及消防用水不被他用的设施应正常，消防出水管上的止回阀关闭时应严密，寒冷地区防冻措施应完好。</w:t>
      </w:r>
    </w:p>
    <w:p w14:paraId="67DB066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（3）稳压泵、增压泵及气压水罐：进出口阀门应常开，启动运行应正常；启泵与停泵压力应符合设定值，压力表显示应正常。</w:t>
      </w:r>
    </w:p>
    <w:p w14:paraId="36C6B45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（4）消防水泵：消防水泵应有注明系统名称和编号的标志牌，进出口阀门应常开，标志牌应正确，压力表、试水阀及防超压装置等均应正常，启动运行应正常，应向消防控制设备反馈水泵状态的信号。</w:t>
      </w:r>
    </w:p>
    <w:p w14:paraId="5CB0843A">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（5）水泵控制柜：应有注明所属系统及编号的标志，按钮、指示灯及仪表应正常，应能按钮启停每台水泵，主泵不能正常投入运行时，应自动切换启动备用泵。</w:t>
      </w:r>
    </w:p>
    <w:p w14:paraId="5C6795A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（6）水泵接合器：应有注明所属系统和区域的标志牌，控制阀应常开，且启闭灵活；单向阀安装方向应正确，止回阀应严密关闭，寒冷地区防冻措施应完好。</w:t>
      </w:r>
    </w:p>
    <w:p w14:paraId="287F5AE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（7）消火栓、消防炮</w:t>
      </w:r>
    </w:p>
    <w:p w14:paraId="1FD82B1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A、室内消火栓：消火栓箱应有明显标志，消火栓箱组件应齐全，箱门应开关灵活，开度应符合要求，消火栓的阀门应启闭灵活，栓口位置应便于连接水带。</w:t>
      </w:r>
    </w:p>
    <w:p w14:paraId="4722A57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B、室外消火栓：阀门应启闭灵活，地下式消火栓应有明显标志，井内应无积水，寒冷地区防冻措施应完好。</w:t>
      </w:r>
    </w:p>
    <w:p w14:paraId="76144CB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C、消防炮：控制阀应启闭灵活，回转与仰俯操作应灵活，操作角度应符合设定值，定位机构应可靠。</w:t>
      </w:r>
    </w:p>
    <w:p w14:paraId="766CE98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D、启泵按钮：外观完好，有透明罩保护，并配有击碎工具；被触发时，应直接启动消防泵，同时确认灯显示，按钮手动复位，确认灯随之复位。</w:t>
      </w:r>
    </w:p>
    <w:p w14:paraId="7A39FFE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E、室内消火栓：消火栓栓口处的静水压力应符合设计要求，且不应大于0.8MPa。触发启泵按钮时，消防水泵应启动。消防水泵启动后，栓口出水压力应符合设计要求，且不应大于0.5MPa。</w:t>
      </w:r>
    </w:p>
    <w:p w14:paraId="1F81096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（8）自动喷水灭火系统：系统应设置在自动控制状态。</w:t>
      </w:r>
    </w:p>
    <w:p w14:paraId="7F82267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A、湿式报警阀组：应有注明系统名称和保护区域的标志牌，压力表显示应符合设定值。</w:t>
      </w:r>
    </w:p>
    <w:p w14:paraId="54FF77F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控制阀应全部开启，并用锁具固定手轮，启闭标志应明显；采用信号阀时，反馈信号应正确。</w:t>
      </w:r>
    </w:p>
    <w:p w14:paraId="761CB082">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报警阀等组件应灵敏可靠；压力开关动作应向消防控制设备反馈信号。</w:t>
      </w:r>
    </w:p>
    <w:p w14:paraId="54F8594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B、水流指示器：应有明显标志。信号阀应全开，并应反馈启闭信号。水流指示器的启动与复位应灵敏可靠，并同时反馈信号。</w:t>
      </w:r>
    </w:p>
    <w:p w14:paraId="27C8C252">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（9）喷头：应符合设计选型。闭式喷头玻璃泡色标应符合设计要求。不得有变形和附着物、悬挂物。</w:t>
      </w:r>
    </w:p>
    <w:p w14:paraId="0E000D1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（10）末端试水装置：阀门、试水接头、压力表和排水管应正常。系统功能湿式系统</w:t>
      </w:r>
    </w:p>
    <w:p w14:paraId="565830F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开启末端试水装置后，出水压力不应低于0.05Mpa。水流指示器、报警阀、压力开关应动作。报警阀动作后，距水力警铃3m远处的声压级不应低于70dB。应在开启末端试水装置后5min内自动启动消防水泵。消防控制设备应显示水流指示器、压力开关及消防水泵的反馈信号。</w:t>
      </w:r>
    </w:p>
    <w:p w14:paraId="754314A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 气体灭火系统的检测部分</w:t>
      </w:r>
    </w:p>
    <w:p w14:paraId="7DC4408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（1）瓶组与储罐：</w:t>
      </w:r>
    </w:p>
    <w:p w14:paraId="51B60F4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A、组件应固定牢固，手动操作装置的铅封应完好，压力表的显示应正常。</w:t>
      </w:r>
    </w:p>
    <w:p w14:paraId="0F38035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应注明灭火剂名称，储瓶应有编号，驱动装置和选择阀应有分区标志牌，选择阀手动启闭应灵活。</w:t>
      </w:r>
    </w:p>
    <w:p w14:paraId="4783ABEB">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B、储瓶的称重装置应正常，并应有原始重量标记。</w:t>
      </w:r>
    </w:p>
    <w:p w14:paraId="5E50452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C、二氧化碳储瓶及储罐，应在灭火剂的损失量达到设定值时发出报警信号。</w:t>
      </w:r>
    </w:p>
    <w:p w14:paraId="55E69154">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D、低压二氧化碳储罐的制冷装置应正常运行，控制的温度和压力应符合设定值。</w:t>
      </w:r>
    </w:p>
    <w:p w14:paraId="5BC803B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（2）喷嘴：喷口方向应正确、并应无堵塞现象。</w:t>
      </w:r>
    </w:p>
    <w:p w14:paraId="40CCC34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（3）气体灭火控制器：自动、手动转换功能应正常，无论装置处于自动或手动状态，手动操作启动均应有效。装置所处状态应有明显的标志或灯光显示，反馈信号显示应正常。</w:t>
      </w:r>
    </w:p>
    <w:p w14:paraId="71B8AD2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（4）系统功能：防护区内和入口处的声光报警装置，入口处的安全标志、紧急启停按钮应正常。火灾报警控制器确认火灾报警后的延时启动时间应符合设定值。</w:t>
      </w:r>
    </w:p>
    <w:p w14:paraId="1E88094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5、防烟排烟系统的检测部分</w:t>
      </w:r>
    </w:p>
    <w:p w14:paraId="0211C4C4">
      <w:pPr>
        <w:spacing w:line="520" w:lineRule="exact"/>
        <w:ind w:firstLine="600" w:firstLineChars="200"/>
        <w:rPr>
          <w:rFonts w:ascii="仿宋" w:hAnsi="仿宋" w:eastAsia="仿宋"/>
          <w:color w:val="auto"/>
          <w:sz w:val="30"/>
          <w:szCs w:val="30"/>
        </w:rPr>
      </w:pPr>
      <w:r>
        <w:rPr>
          <w:rFonts w:hint="eastAsia" w:ascii="仿宋" w:hAnsi="仿宋" w:eastAsia="仿宋"/>
          <w:bCs/>
          <w:color w:val="auto"/>
          <w:sz w:val="30"/>
          <w:szCs w:val="30"/>
        </w:rPr>
        <w:t>（1）</w:t>
      </w:r>
      <w:r>
        <w:rPr>
          <w:rFonts w:hint="eastAsia" w:ascii="仿宋" w:hAnsi="仿宋" w:eastAsia="仿宋"/>
          <w:color w:val="auto"/>
          <w:sz w:val="30"/>
          <w:szCs w:val="30"/>
        </w:rPr>
        <w:t>控制柜</w:t>
      </w:r>
    </w:p>
    <w:p w14:paraId="083E6789">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A、应有注明系统名称和编号的标志。</w:t>
      </w:r>
    </w:p>
    <w:p w14:paraId="218660B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B、仪表、指示灯显示应正常，开关及控制按钮应灵活可靠。</w:t>
      </w:r>
    </w:p>
    <w:p w14:paraId="7BEB8239">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C、应有手动、自动切换装置。</w:t>
      </w:r>
    </w:p>
    <w:p w14:paraId="68D9C6A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（2）风机</w:t>
      </w:r>
    </w:p>
    <w:p w14:paraId="418254E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A、应有注明系统名称和编号的标志。</w:t>
      </w:r>
    </w:p>
    <w:p w14:paraId="673EB74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B、传动皮带的防护罩、新风入口的防护网应完好。</w:t>
      </w:r>
    </w:p>
    <w:p w14:paraId="7BF15FE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C、启动运转平稳，叶轮旋转方向正确，无异常振动与声响。</w:t>
      </w:r>
    </w:p>
    <w:p w14:paraId="7FB1ADF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（3）送风阀：安装牢固。开启与复位操作应灵活可靠，关闭时应严密，反馈信号应正确。</w:t>
      </w:r>
    </w:p>
    <w:p w14:paraId="0EFE1E3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（4）系统功能：</w:t>
      </w:r>
    </w:p>
    <w:p w14:paraId="67056B74">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A、应能自动和手动启动相应区域的送风阀、送风机，并向火灾报警控制器反馈信号。</w:t>
      </w:r>
    </w:p>
    <w:p w14:paraId="40D5E01B">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B、送风口的风速不宜大于7m/s。</w:t>
      </w:r>
    </w:p>
    <w:p w14:paraId="61157E79">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C、防烟楼梯间的余压值应为40～50Pa，前室、合用前室的余压值应为25～30Pa。</w:t>
      </w:r>
    </w:p>
    <w:p w14:paraId="707EC40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6、应急照明系统的检测部分</w:t>
      </w:r>
    </w:p>
    <w:p w14:paraId="0AC22045">
      <w:pPr>
        <w:spacing w:line="520" w:lineRule="exact"/>
        <w:ind w:firstLine="600" w:firstLineChars="200"/>
        <w:rPr>
          <w:rFonts w:ascii="仿宋" w:hAnsi="仿宋" w:eastAsia="仿宋"/>
          <w:color w:val="auto"/>
          <w:sz w:val="30"/>
          <w:szCs w:val="30"/>
        </w:rPr>
      </w:pPr>
      <w:r>
        <w:rPr>
          <w:rFonts w:hint="eastAsia" w:ascii="仿宋" w:hAnsi="仿宋" w:eastAsia="仿宋" w:cs="宋体"/>
          <w:color w:val="auto"/>
          <w:sz w:val="30"/>
          <w:szCs w:val="30"/>
        </w:rPr>
        <w:t>（1）应急照明：</w:t>
      </w:r>
    </w:p>
    <w:p w14:paraId="1AFB124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A、应牢固、无遮挡，状态指示灯正常。</w:t>
      </w:r>
    </w:p>
    <w:p w14:paraId="4818FB9B">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B、切断正常供电电源后，应急工作状态的持续时间不应低于表1规定。</w:t>
      </w:r>
    </w:p>
    <w:p w14:paraId="76CD5997">
      <w:pPr>
        <w:spacing w:before="156" w:beforeLines="50" w:after="156" w:afterLines="50" w:line="520" w:lineRule="exact"/>
        <w:jc w:val="center"/>
        <w:rPr>
          <w:rFonts w:ascii="仿宋" w:hAnsi="仿宋" w:eastAsia="仿宋"/>
          <w:color w:val="auto"/>
          <w:sz w:val="30"/>
          <w:szCs w:val="30"/>
        </w:rPr>
      </w:pPr>
      <w:r>
        <w:rPr>
          <w:rFonts w:hint="eastAsia" w:ascii="仿宋" w:hAnsi="仿宋" w:eastAsia="仿宋"/>
          <w:color w:val="auto"/>
          <w:sz w:val="30"/>
          <w:szCs w:val="30"/>
        </w:rPr>
        <w:t>表1  应急照明工作状态的持续时间</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7"/>
        <w:gridCol w:w="3015"/>
        <w:gridCol w:w="2840"/>
      </w:tblGrid>
      <w:tr w14:paraId="1D35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pct"/>
            <w:tcBorders>
              <w:top w:val="single" w:color="auto" w:sz="4" w:space="0"/>
              <w:left w:val="single" w:color="auto" w:sz="4" w:space="0"/>
              <w:bottom w:val="single" w:color="auto" w:sz="4" w:space="0"/>
              <w:right w:val="single" w:color="auto" w:sz="4" w:space="0"/>
            </w:tcBorders>
            <w:vAlign w:val="center"/>
          </w:tcPr>
          <w:p w14:paraId="15E88C7C">
            <w:pPr>
              <w:spacing w:before="156" w:beforeLines="50" w:after="156" w:afterLines="50" w:line="520" w:lineRule="exact"/>
              <w:jc w:val="center"/>
              <w:rPr>
                <w:rFonts w:ascii="仿宋" w:hAnsi="仿宋" w:eastAsia="仿宋"/>
                <w:color w:val="auto"/>
                <w:sz w:val="30"/>
                <w:szCs w:val="30"/>
              </w:rPr>
            </w:pPr>
            <w:r>
              <w:rPr>
                <w:rFonts w:hint="eastAsia" w:ascii="仿宋" w:hAnsi="仿宋" w:eastAsia="仿宋"/>
                <w:color w:val="auto"/>
                <w:sz w:val="30"/>
                <w:szCs w:val="30"/>
              </w:rPr>
              <w:t>建筑类别</w:t>
            </w:r>
          </w:p>
        </w:tc>
        <w:tc>
          <w:tcPr>
            <w:tcW w:w="1769" w:type="pct"/>
            <w:tcBorders>
              <w:top w:val="single" w:color="auto" w:sz="4" w:space="0"/>
              <w:left w:val="single" w:color="auto" w:sz="4" w:space="0"/>
              <w:bottom w:val="single" w:color="auto" w:sz="4" w:space="0"/>
              <w:right w:val="single" w:color="auto" w:sz="4" w:space="0"/>
            </w:tcBorders>
            <w:vAlign w:val="center"/>
          </w:tcPr>
          <w:p w14:paraId="220879C0">
            <w:pPr>
              <w:spacing w:before="156" w:beforeLines="50" w:after="156" w:afterLines="50" w:line="520" w:lineRule="exact"/>
              <w:jc w:val="center"/>
              <w:rPr>
                <w:rFonts w:ascii="仿宋" w:hAnsi="仿宋" w:eastAsia="仿宋"/>
                <w:color w:val="auto"/>
                <w:sz w:val="30"/>
                <w:szCs w:val="30"/>
              </w:rPr>
            </w:pPr>
            <w:r>
              <w:rPr>
                <w:rFonts w:hint="eastAsia" w:ascii="仿宋" w:hAnsi="仿宋" w:eastAsia="仿宋"/>
                <w:color w:val="auto"/>
                <w:sz w:val="30"/>
                <w:szCs w:val="30"/>
              </w:rPr>
              <w:t>应急疏散照明工作状态的持续时间（min）</w:t>
            </w:r>
          </w:p>
        </w:tc>
        <w:tc>
          <w:tcPr>
            <w:tcW w:w="1666" w:type="pct"/>
            <w:tcBorders>
              <w:top w:val="single" w:color="auto" w:sz="4" w:space="0"/>
              <w:left w:val="single" w:color="auto" w:sz="4" w:space="0"/>
              <w:bottom w:val="single" w:color="auto" w:sz="4" w:space="0"/>
              <w:right w:val="single" w:color="auto" w:sz="4" w:space="0"/>
            </w:tcBorders>
            <w:vAlign w:val="center"/>
          </w:tcPr>
          <w:p w14:paraId="082ABC9C">
            <w:pPr>
              <w:spacing w:before="156" w:beforeLines="50" w:after="156" w:afterLines="50" w:line="520" w:lineRule="exact"/>
              <w:jc w:val="center"/>
              <w:rPr>
                <w:rFonts w:ascii="仿宋" w:hAnsi="仿宋" w:eastAsia="仿宋"/>
                <w:color w:val="auto"/>
                <w:sz w:val="30"/>
                <w:szCs w:val="30"/>
              </w:rPr>
            </w:pPr>
            <w:r>
              <w:rPr>
                <w:rFonts w:hint="eastAsia" w:ascii="仿宋" w:hAnsi="仿宋" w:eastAsia="仿宋"/>
                <w:color w:val="auto"/>
                <w:sz w:val="30"/>
                <w:szCs w:val="30"/>
              </w:rPr>
              <w:t>消防应急照明工作状态的持续时间（min）</w:t>
            </w:r>
          </w:p>
        </w:tc>
      </w:tr>
      <w:tr w14:paraId="4244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pct"/>
            <w:tcBorders>
              <w:top w:val="single" w:color="auto" w:sz="4" w:space="0"/>
              <w:left w:val="single" w:color="auto" w:sz="4" w:space="0"/>
              <w:bottom w:val="single" w:color="auto" w:sz="4" w:space="0"/>
              <w:right w:val="single" w:color="auto" w:sz="4" w:space="0"/>
            </w:tcBorders>
            <w:vAlign w:val="center"/>
          </w:tcPr>
          <w:p w14:paraId="011A5431">
            <w:pPr>
              <w:spacing w:before="156" w:beforeLines="50" w:after="156" w:afterLines="50" w:line="520" w:lineRule="exact"/>
              <w:jc w:val="center"/>
              <w:rPr>
                <w:rFonts w:ascii="仿宋" w:hAnsi="仿宋" w:eastAsia="仿宋"/>
                <w:color w:val="auto"/>
                <w:sz w:val="30"/>
                <w:szCs w:val="30"/>
              </w:rPr>
            </w:pPr>
            <w:r>
              <w:rPr>
                <w:rFonts w:hint="eastAsia" w:ascii="仿宋" w:hAnsi="仿宋" w:eastAsia="仿宋"/>
                <w:color w:val="auto"/>
                <w:sz w:val="30"/>
                <w:szCs w:val="30"/>
              </w:rPr>
              <w:t>建筑高度超过100m的高层建筑</w:t>
            </w:r>
          </w:p>
        </w:tc>
        <w:tc>
          <w:tcPr>
            <w:tcW w:w="1769" w:type="pct"/>
            <w:tcBorders>
              <w:top w:val="single" w:color="auto" w:sz="4" w:space="0"/>
              <w:left w:val="single" w:color="auto" w:sz="4" w:space="0"/>
              <w:bottom w:val="single" w:color="auto" w:sz="4" w:space="0"/>
              <w:right w:val="single" w:color="auto" w:sz="4" w:space="0"/>
            </w:tcBorders>
            <w:vAlign w:val="center"/>
          </w:tcPr>
          <w:p w14:paraId="32B4A337">
            <w:pPr>
              <w:spacing w:before="156" w:beforeLines="50" w:after="156" w:afterLines="50" w:line="520" w:lineRule="exact"/>
              <w:jc w:val="center"/>
              <w:rPr>
                <w:rFonts w:ascii="仿宋" w:hAnsi="仿宋" w:eastAsia="仿宋"/>
                <w:color w:val="auto"/>
                <w:sz w:val="30"/>
                <w:szCs w:val="30"/>
              </w:rPr>
            </w:pPr>
            <w:r>
              <w:rPr>
                <w:rFonts w:hint="eastAsia" w:ascii="仿宋" w:hAnsi="仿宋" w:eastAsia="仿宋"/>
                <w:color w:val="auto"/>
                <w:sz w:val="30"/>
                <w:szCs w:val="30"/>
              </w:rPr>
              <w:t>≥30</w:t>
            </w:r>
          </w:p>
        </w:tc>
        <w:tc>
          <w:tcPr>
            <w:tcW w:w="1666" w:type="pct"/>
            <w:tcBorders>
              <w:top w:val="single" w:color="auto" w:sz="4" w:space="0"/>
              <w:left w:val="single" w:color="auto" w:sz="4" w:space="0"/>
              <w:bottom w:val="single" w:color="auto" w:sz="4" w:space="0"/>
              <w:right w:val="single" w:color="auto" w:sz="4" w:space="0"/>
            </w:tcBorders>
            <w:vAlign w:val="center"/>
          </w:tcPr>
          <w:p w14:paraId="6CFE1F85">
            <w:pPr>
              <w:spacing w:before="156" w:beforeLines="50" w:after="156" w:afterLines="50" w:line="520" w:lineRule="exact"/>
              <w:jc w:val="center"/>
              <w:rPr>
                <w:rFonts w:ascii="仿宋" w:hAnsi="仿宋" w:eastAsia="仿宋"/>
                <w:color w:val="auto"/>
                <w:sz w:val="30"/>
                <w:szCs w:val="30"/>
              </w:rPr>
            </w:pPr>
            <w:r>
              <w:rPr>
                <w:rFonts w:hint="eastAsia" w:ascii="仿宋" w:hAnsi="仿宋" w:eastAsia="仿宋"/>
                <w:color w:val="auto"/>
                <w:sz w:val="30"/>
                <w:szCs w:val="30"/>
              </w:rPr>
              <w:t>≥90</w:t>
            </w:r>
          </w:p>
        </w:tc>
      </w:tr>
      <w:tr w14:paraId="0BA50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pct"/>
            <w:tcBorders>
              <w:top w:val="single" w:color="auto" w:sz="4" w:space="0"/>
              <w:left w:val="single" w:color="auto" w:sz="4" w:space="0"/>
              <w:bottom w:val="single" w:color="auto" w:sz="4" w:space="0"/>
              <w:right w:val="single" w:color="auto" w:sz="4" w:space="0"/>
            </w:tcBorders>
            <w:vAlign w:val="center"/>
          </w:tcPr>
          <w:p w14:paraId="064B3432">
            <w:pPr>
              <w:spacing w:before="156" w:beforeLines="50" w:after="156" w:afterLines="50" w:line="520" w:lineRule="exact"/>
              <w:jc w:val="center"/>
              <w:rPr>
                <w:rFonts w:ascii="仿宋" w:hAnsi="仿宋" w:eastAsia="仿宋"/>
                <w:color w:val="auto"/>
                <w:sz w:val="30"/>
                <w:szCs w:val="30"/>
              </w:rPr>
            </w:pPr>
            <w:r>
              <w:rPr>
                <w:rFonts w:hint="eastAsia" w:ascii="仿宋" w:hAnsi="仿宋" w:eastAsia="仿宋"/>
                <w:color w:val="auto"/>
                <w:sz w:val="30"/>
                <w:szCs w:val="30"/>
              </w:rPr>
              <w:t>其他建筑</w:t>
            </w:r>
          </w:p>
        </w:tc>
        <w:tc>
          <w:tcPr>
            <w:tcW w:w="1769" w:type="pct"/>
            <w:tcBorders>
              <w:top w:val="single" w:color="auto" w:sz="4" w:space="0"/>
              <w:left w:val="single" w:color="auto" w:sz="4" w:space="0"/>
              <w:bottom w:val="single" w:color="auto" w:sz="4" w:space="0"/>
              <w:right w:val="single" w:color="auto" w:sz="4" w:space="0"/>
            </w:tcBorders>
            <w:vAlign w:val="center"/>
          </w:tcPr>
          <w:p w14:paraId="042E2603">
            <w:pPr>
              <w:spacing w:before="156" w:beforeLines="50" w:after="156" w:afterLines="50" w:line="520" w:lineRule="exact"/>
              <w:jc w:val="center"/>
              <w:rPr>
                <w:rFonts w:ascii="仿宋" w:hAnsi="仿宋" w:eastAsia="仿宋"/>
                <w:color w:val="auto"/>
                <w:sz w:val="30"/>
                <w:szCs w:val="30"/>
              </w:rPr>
            </w:pPr>
            <w:r>
              <w:rPr>
                <w:rFonts w:hint="eastAsia" w:ascii="仿宋" w:hAnsi="仿宋" w:eastAsia="仿宋"/>
                <w:color w:val="auto"/>
                <w:sz w:val="30"/>
                <w:szCs w:val="30"/>
              </w:rPr>
              <w:t>≥20</w:t>
            </w:r>
          </w:p>
        </w:tc>
        <w:tc>
          <w:tcPr>
            <w:tcW w:w="1666" w:type="pct"/>
            <w:tcBorders>
              <w:top w:val="single" w:color="auto" w:sz="4" w:space="0"/>
              <w:left w:val="single" w:color="auto" w:sz="4" w:space="0"/>
              <w:bottom w:val="single" w:color="auto" w:sz="4" w:space="0"/>
              <w:right w:val="single" w:color="auto" w:sz="4" w:space="0"/>
            </w:tcBorders>
            <w:vAlign w:val="center"/>
          </w:tcPr>
          <w:p w14:paraId="3EA9AA85">
            <w:pPr>
              <w:spacing w:before="156" w:beforeLines="50" w:after="156" w:afterLines="50" w:line="520" w:lineRule="exact"/>
              <w:jc w:val="center"/>
              <w:rPr>
                <w:rFonts w:ascii="仿宋" w:hAnsi="仿宋" w:eastAsia="仿宋"/>
                <w:color w:val="auto"/>
                <w:sz w:val="30"/>
                <w:szCs w:val="30"/>
              </w:rPr>
            </w:pPr>
            <w:r>
              <w:rPr>
                <w:rFonts w:hint="eastAsia" w:ascii="仿宋" w:hAnsi="仿宋" w:eastAsia="仿宋"/>
                <w:color w:val="auto"/>
                <w:sz w:val="30"/>
                <w:szCs w:val="30"/>
              </w:rPr>
              <w:t>≥90</w:t>
            </w:r>
          </w:p>
        </w:tc>
      </w:tr>
    </w:tbl>
    <w:p w14:paraId="65896D2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（2）疏散照明的地面照度不应低于0.5lx，地下服务疏散照明的地面照度不应低于5.0lx。</w:t>
      </w:r>
    </w:p>
    <w:p w14:paraId="6304692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（3）配电室、消防控制室、消防水泵房、防烟排烟机房、消防用电的蓄电池室、自备发电机房、电话总机房以及发生火灾时仍需坚持工作的其它房间，其工作面的照度，不应低于正常照明时的照度。</w:t>
      </w:r>
    </w:p>
    <w:p w14:paraId="12E026F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（4）疏散指示标志：</w:t>
      </w:r>
    </w:p>
    <w:p w14:paraId="305DCEC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A、应牢固、无遮挡，疏散方向的指示应正确清晰。</w:t>
      </w:r>
    </w:p>
    <w:p w14:paraId="4FBE4A8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B、辅助性自发光疏散指示标志，当正常光源变暗后，应自发光，持续时间不应低于20 min。</w:t>
      </w:r>
    </w:p>
    <w:p w14:paraId="454FFF9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C、灯光疏散指示标志，状态指示灯应正常。工作状态时，灯前通道地面中心的照度不应低于1.0lx。切断正常供电电源后，应急工作状态的持续时间不应低于表2规定。</w:t>
      </w:r>
    </w:p>
    <w:p w14:paraId="23A49568">
      <w:pPr>
        <w:spacing w:before="156" w:beforeLines="50" w:after="156" w:afterLines="50" w:line="520" w:lineRule="exact"/>
        <w:jc w:val="center"/>
        <w:rPr>
          <w:rFonts w:ascii="仿宋" w:hAnsi="仿宋" w:eastAsia="仿宋"/>
          <w:color w:val="auto"/>
          <w:sz w:val="30"/>
          <w:szCs w:val="30"/>
        </w:rPr>
      </w:pPr>
      <w:r>
        <w:rPr>
          <w:rFonts w:hint="eastAsia" w:ascii="仿宋" w:hAnsi="仿宋" w:eastAsia="仿宋"/>
          <w:color w:val="auto"/>
          <w:sz w:val="30"/>
          <w:szCs w:val="30"/>
        </w:rPr>
        <w:t>表2  应急工作状态的持续时间表</w:t>
      </w:r>
    </w:p>
    <w:tbl>
      <w:tblPr>
        <w:tblStyle w:val="10"/>
        <w:tblW w:w="51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581"/>
      </w:tblGrid>
      <w:tr w14:paraId="50B39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pct"/>
            <w:tcBorders>
              <w:top w:val="single" w:color="auto" w:sz="4" w:space="0"/>
              <w:left w:val="single" w:color="auto" w:sz="4" w:space="0"/>
              <w:bottom w:val="single" w:color="auto" w:sz="4" w:space="0"/>
              <w:right w:val="single" w:color="auto" w:sz="4" w:space="0"/>
            </w:tcBorders>
          </w:tcPr>
          <w:p w14:paraId="75611A53">
            <w:pPr>
              <w:spacing w:before="156" w:beforeLines="50" w:after="156" w:afterLines="50" w:line="520" w:lineRule="exact"/>
              <w:rPr>
                <w:rFonts w:ascii="仿宋" w:hAnsi="仿宋" w:eastAsia="仿宋"/>
                <w:color w:val="auto"/>
                <w:sz w:val="30"/>
                <w:szCs w:val="30"/>
              </w:rPr>
            </w:pPr>
            <w:r>
              <w:rPr>
                <w:rFonts w:hint="eastAsia" w:ascii="仿宋" w:hAnsi="仿宋" w:eastAsia="仿宋"/>
                <w:color w:val="auto"/>
                <w:sz w:val="30"/>
                <w:szCs w:val="30"/>
              </w:rPr>
              <w:t>建筑类别</w:t>
            </w:r>
          </w:p>
        </w:tc>
        <w:tc>
          <w:tcPr>
            <w:tcW w:w="2590" w:type="pct"/>
            <w:tcBorders>
              <w:top w:val="single" w:color="auto" w:sz="4" w:space="0"/>
              <w:left w:val="single" w:color="auto" w:sz="4" w:space="0"/>
              <w:bottom w:val="single" w:color="auto" w:sz="4" w:space="0"/>
              <w:right w:val="single" w:color="auto" w:sz="4" w:space="0"/>
            </w:tcBorders>
          </w:tcPr>
          <w:p w14:paraId="39B6133C">
            <w:pPr>
              <w:spacing w:before="156" w:beforeLines="50" w:after="156" w:afterLines="50" w:line="520" w:lineRule="exact"/>
              <w:rPr>
                <w:rFonts w:ascii="仿宋" w:hAnsi="仿宋" w:eastAsia="仿宋"/>
                <w:color w:val="auto"/>
                <w:sz w:val="30"/>
                <w:szCs w:val="30"/>
              </w:rPr>
            </w:pPr>
            <w:r>
              <w:rPr>
                <w:rFonts w:hint="eastAsia" w:ascii="仿宋" w:hAnsi="仿宋" w:eastAsia="仿宋"/>
                <w:color w:val="auto"/>
                <w:sz w:val="30"/>
                <w:szCs w:val="30"/>
              </w:rPr>
              <w:t>应急工作状态的持续时间（min）</w:t>
            </w:r>
          </w:p>
        </w:tc>
      </w:tr>
      <w:tr w14:paraId="29311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pct"/>
            <w:tcBorders>
              <w:top w:val="single" w:color="auto" w:sz="4" w:space="0"/>
              <w:left w:val="single" w:color="auto" w:sz="4" w:space="0"/>
              <w:bottom w:val="single" w:color="auto" w:sz="4" w:space="0"/>
              <w:right w:val="single" w:color="auto" w:sz="4" w:space="0"/>
            </w:tcBorders>
          </w:tcPr>
          <w:p w14:paraId="3E9B0DC3">
            <w:pPr>
              <w:spacing w:before="156" w:beforeLines="50" w:after="156" w:afterLines="50" w:line="520" w:lineRule="exact"/>
              <w:rPr>
                <w:rFonts w:ascii="仿宋" w:hAnsi="仿宋" w:eastAsia="仿宋"/>
                <w:color w:val="auto"/>
                <w:sz w:val="30"/>
                <w:szCs w:val="30"/>
              </w:rPr>
            </w:pPr>
            <w:r>
              <w:rPr>
                <w:rFonts w:hint="eastAsia" w:ascii="仿宋" w:hAnsi="仿宋" w:eastAsia="仿宋"/>
                <w:color w:val="auto"/>
                <w:sz w:val="30"/>
                <w:szCs w:val="30"/>
              </w:rPr>
              <w:t>建筑高度超过100m的高层建筑</w:t>
            </w:r>
          </w:p>
        </w:tc>
        <w:tc>
          <w:tcPr>
            <w:tcW w:w="2590" w:type="pct"/>
            <w:tcBorders>
              <w:top w:val="single" w:color="auto" w:sz="4" w:space="0"/>
              <w:left w:val="single" w:color="auto" w:sz="4" w:space="0"/>
              <w:bottom w:val="single" w:color="auto" w:sz="4" w:space="0"/>
              <w:right w:val="single" w:color="auto" w:sz="4" w:space="0"/>
            </w:tcBorders>
          </w:tcPr>
          <w:p w14:paraId="01C42ED3">
            <w:pPr>
              <w:spacing w:before="156" w:beforeLines="50" w:after="156" w:afterLines="50" w:line="520" w:lineRule="exact"/>
              <w:rPr>
                <w:rFonts w:ascii="仿宋" w:hAnsi="仿宋" w:eastAsia="仿宋"/>
                <w:color w:val="auto"/>
                <w:sz w:val="30"/>
                <w:szCs w:val="30"/>
              </w:rPr>
            </w:pPr>
            <w:r>
              <w:rPr>
                <w:rFonts w:hint="eastAsia" w:ascii="仿宋" w:hAnsi="仿宋" w:eastAsia="仿宋"/>
                <w:color w:val="auto"/>
                <w:sz w:val="30"/>
                <w:szCs w:val="30"/>
              </w:rPr>
              <w:t>≥30</w:t>
            </w:r>
          </w:p>
        </w:tc>
      </w:tr>
      <w:tr w14:paraId="482CF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pct"/>
            <w:tcBorders>
              <w:top w:val="single" w:color="auto" w:sz="4" w:space="0"/>
              <w:left w:val="single" w:color="auto" w:sz="4" w:space="0"/>
              <w:bottom w:val="single" w:color="auto" w:sz="4" w:space="0"/>
              <w:right w:val="single" w:color="auto" w:sz="4" w:space="0"/>
            </w:tcBorders>
          </w:tcPr>
          <w:p w14:paraId="49DF0224">
            <w:pPr>
              <w:spacing w:before="156" w:beforeLines="50" w:after="156" w:afterLines="50" w:line="520" w:lineRule="exact"/>
              <w:rPr>
                <w:rFonts w:ascii="仿宋" w:hAnsi="仿宋" w:eastAsia="仿宋"/>
                <w:color w:val="auto"/>
                <w:sz w:val="30"/>
                <w:szCs w:val="30"/>
              </w:rPr>
            </w:pPr>
            <w:r>
              <w:rPr>
                <w:rFonts w:hint="eastAsia" w:ascii="仿宋" w:hAnsi="仿宋" w:eastAsia="仿宋"/>
                <w:color w:val="auto"/>
                <w:sz w:val="30"/>
                <w:szCs w:val="30"/>
              </w:rPr>
              <w:t>其他建筑</w:t>
            </w:r>
          </w:p>
        </w:tc>
        <w:tc>
          <w:tcPr>
            <w:tcW w:w="2590" w:type="pct"/>
            <w:tcBorders>
              <w:top w:val="single" w:color="auto" w:sz="4" w:space="0"/>
              <w:left w:val="single" w:color="auto" w:sz="4" w:space="0"/>
              <w:bottom w:val="single" w:color="auto" w:sz="4" w:space="0"/>
              <w:right w:val="single" w:color="auto" w:sz="4" w:space="0"/>
            </w:tcBorders>
          </w:tcPr>
          <w:p w14:paraId="0718B661">
            <w:pPr>
              <w:spacing w:before="156" w:beforeLines="50" w:after="156" w:afterLines="50" w:line="520" w:lineRule="exact"/>
              <w:rPr>
                <w:rFonts w:ascii="仿宋" w:hAnsi="仿宋" w:eastAsia="仿宋"/>
                <w:color w:val="auto"/>
                <w:sz w:val="30"/>
                <w:szCs w:val="30"/>
              </w:rPr>
            </w:pPr>
            <w:r>
              <w:rPr>
                <w:rFonts w:hint="eastAsia" w:ascii="仿宋" w:hAnsi="仿宋" w:eastAsia="仿宋"/>
                <w:color w:val="auto"/>
                <w:sz w:val="30"/>
                <w:szCs w:val="30"/>
              </w:rPr>
              <w:t>≥20</w:t>
            </w:r>
          </w:p>
        </w:tc>
      </w:tr>
    </w:tbl>
    <w:p w14:paraId="51F4ED5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7、消防应急广播系统的检测部分</w:t>
      </w:r>
    </w:p>
    <w:p w14:paraId="50B3A55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（1）扩音机：仪表、指示灯显示正常，开关和控制按钮动作灵活。监听功能正常。</w:t>
      </w:r>
    </w:p>
    <w:p w14:paraId="5196A6D4">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（2）扬声器：外观完好，音质清晰。</w:t>
      </w:r>
    </w:p>
    <w:p w14:paraId="7B11C6C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（3）系统功能：</w:t>
      </w:r>
    </w:p>
    <w:p w14:paraId="0029D1E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A、应能用话筒播音。</w:t>
      </w:r>
    </w:p>
    <w:p w14:paraId="573C9BE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B、应在火灾报警后，按设定的控制程序自动启动火灾应急广播。</w:t>
      </w:r>
    </w:p>
    <w:p w14:paraId="59B2DB0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C、播音区域应正确、音质应清晰。环境噪声大于60dB的场所，火灾应急广播应高于背景噪声15dB。</w:t>
      </w:r>
    </w:p>
    <w:p w14:paraId="7276702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8、消防专用电话的检测内容部分</w:t>
      </w:r>
    </w:p>
    <w:p w14:paraId="0D73A3DD">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（1）消防专用电话分机应以直通方式呼叫。</w:t>
      </w:r>
    </w:p>
    <w:p w14:paraId="72313D62">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（2）消防控制室应能接受插孔电话的呼叫。</w:t>
      </w:r>
    </w:p>
    <w:p w14:paraId="272B3F03">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（3）消防控制室、消防值班室、企业消防站等处应设外线电话。</w:t>
      </w:r>
    </w:p>
    <w:p w14:paraId="6666302D">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（4）通话音质应清晰。</w:t>
      </w:r>
    </w:p>
    <w:p w14:paraId="22BC1F8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9、防火分隔设施的检测部分</w:t>
      </w:r>
    </w:p>
    <w:p w14:paraId="4750731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（1）防火门：</w:t>
      </w:r>
    </w:p>
    <w:p w14:paraId="3911DAF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A、组件齐全完好，应启闭灵活、关闭严密。</w:t>
      </w:r>
    </w:p>
    <w:p w14:paraId="30CD354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B、防火门应能自动闭合，双扇防火门应按顺序关闭；关闭后应能从内、外两侧人为开启。</w:t>
      </w:r>
    </w:p>
    <w:p w14:paraId="6E5FEC4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C、常闭防火门开启后应能自动闭合。</w:t>
      </w:r>
    </w:p>
    <w:p w14:paraId="4148F15B">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D、电动常开防火门，应在火灾报警后自动关闭并反馈信号。</w:t>
      </w:r>
    </w:p>
    <w:p w14:paraId="6047E194">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E、设置在疏散通道上、并设有出入口控制系统的防火门，应能自动和手动解除出入口控制系统。</w:t>
      </w:r>
    </w:p>
    <w:p w14:paraId="3AB3542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（2）防火卷帘：</w:t>
      </w:r>
    </w:p>
    <w:p w14:paraId="18584FF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A、组件应齐全完好，紧固件应无松动现象。</w:t>
      </w:r>
    </w:p>
    <w:p w14:paraId="230AB8B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B、现场手动、远程手动、自动控制和机械操作应正常，关闭时应严密。</w:t>
      </w:r>
    </w:p>
    <w:p w14:paraId="03AEB68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C、运行时应平稳顺畅、无卡涩现象。</w:t>
      </w:r>
    </w:p>
    <w:p w14:paraId="6C07CC8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D、安装在疏散通道上的防火卷帘，应在一个相关探测器报警后下降至距地面1.8米处停止；另一个相关探测器报警后，卷帘应继续下降至地面，并向火灾报警控制器反馈信号。</w:t>
      </w:r>
    </w:p>
    <w:p w14:paraId="740432CB">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E、仅用于防火分隔的防火卷帘，火灾报警后，应直接下降至地面，并应向火灾报警控制器反馈信号。</w:t>
      </w:r>
    </w:p>
    <w:p w14:paraId="27DFE78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（3）电动防火阀：</w:t>
      </w:r>
    </w:p>
    <w:p w14:paraId="558991C2">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A、应完好无损，开启与复位应灵活可靠，关闭时应严密。</w:t>
      </w:r>
    </w:p>
    <w:p w14:paraId="39190BB4">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B、应在相关火灾探测器动作后自动关闭并反馈信号。</w:t>
      </w:r>
    </w:p>
    <w:p w14:paraId="57DB868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10、消防电梯的检测部分</w:t>
      </w:r>
    </w:p>
    <w:p w14:paraId="0ED7322C">
      <w:pPr>
        <w:spacing w:line="520" w:lineRule="exact"/>
        <w:ind w:firstLine="600" w:firstLineChars="200"/>
        <w:rPr>
          <w:rFonts w:ascii="仿宋" w:hAnsi="仿宋" w:eastAsia="仿宋"/>
          <w:b/>
          <w:color w:val="auto"/>
          <w:sz w:val="30"/>
          <w:szCs w:val="30"/>
        </w:rPr>
      </w:pPr>
      <w:r>
        <w:rPr>
          <w:rFonts w:hint="eastAsia" w:ascii="仿宋" w:hAnsi="仿宋" w:eastAsia="仿宋"/>
          <w:color w:val="auto"/>
          <w:sz w:val="30"/>
          <w:szCs w:val="30"/>
        </w:rPr>
        <w:t>（1）首层的消防电梯迫降按钮，应用透明罩保护，当触发按钮时，能控制消防电梯下降至首层，此时其他楼层按钮不能呼叫控制消防电梯，只能在轿厢内控制。</w:t>
      </w:r>
    </w:p>
    <w:p w14:paraId="4BD1EC8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（2）轿厢内的专用对讲电话应正常。</w:t>
      </w:r>
    </w:p>
    <w:p w14:paraId="3FECBF2A">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（3）从首层到顶层的运行时间不应超过60s。</w:t>
      </w:r>
    </w:p>
    <w:p w14:paraId="7D8F33B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（4）联动控制的消防电梯，应由消防控制设备手动和自动控制电梯回落首层，并接收反馈信号。</w:t>
      </w:r>
    </w:p>
    <w:p w14:paraId="3B6FE2C2">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11、灭火器的检测部分</w:t>
      </w:r>
    </w:p>
    <w:p w14:paraId="3F17839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（1）选型、数量及放置地点应符合设计要求。</w:t>
      </w:r>
    </w:p>
    <w:p w14:paraId="2CC21C6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（2）应在有效期内使用，经过维修的应有维修标志；</w:t>
      </w:r>
    </w:p>
    <w:p w14:paraId="124649FB">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（3）筒体应无明显锈蚀和凹凸等损伤，手柄、插销、铅封、压力表等组件应齐全完好；灭火器型号标识应清晰、完整。</w:t>
      </w:r>
    </w:p>
    <w:p w14:paraId="3F6A177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（4）压力表指针应在绿色区域范围内。</w:t>
      </w:r>
    </w:p>
    <w:p w14:paraId="4817BA4E">
      <w:pPr>
        <w:spacing w:line="520" w:lineRule="exact"/>
        <w:ind w:firstLine="600" w:firstLineChars="200"/>
        <w:rPr>
          <w:rFonts w:ascii="仿宋" w:hAnsi="仿宋" w:eastAsia="仿宋"/>
          <w:bCs/>
          <w:color w:val="auto"/>
          <w:sz w:val="30"/>
          <w:szCs w:val="30"/>
        </w:rPr>
      </w:pPr>
      <w:r>
        <w:rPr>
          <w:rFonts w:hint="eastAsia" w:ascii="仿宋" w:hAnsi="仿宋" w:eastAsia="仿宋"/>
          <w:bCs/>
          <w:color w:val="auto"/>
          <w:sz w:val="30"/>
          <w:szCs w:val="30"/>
        </w:rPr>
        <w:t>（三）、维修</w:t>
      </w:r>
    </w:p>
    <w:p w14:paraId="099E44F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1、从事消防设施设备维修的人员，应当通过消防行业特有工种职业技能鉴定，持有技师以上等级职业资格证书。</w:t>
      </w:r>
    </w:p>
    <w:p w14:paraId="5A5AE2E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w:t>
      </w:r>
      <w:r>
        <w:rPr>
          <w:rFonts w:ascii="仿宋" w:hAnsi="仿宋" w:eastAsia="仿宋"/>
          <w:color w:val="auto"/>
          <w:sz w:val="30"/>
          <w:szCs w:val="30"/>
        </w:rPr>
        <w:t>乙方在接到甲方电话或书面通知后，必须派现场维保</w:t>
      </w:r>
      <w:r>
        <w:rPr>
          <w:rFonts w:hint="eastAsia" w:ascii="仿宋" w:hAnsi="仿宋" w:eastAsia="仿宋"/>
          <w:color w:val="auto"/>
          <w:sz w:val="30"/>
          <w:szCs w:val="30"/>
        </w:rPr>
        <w:t>技术员</w:t>
      </w:r>
      <w:r>
        <w:rPr>
          <w:rFonts w:ascii="仿宋" w:hAnsi="仿宋" w:eastAsia="仿宋"/>
          <w:color w:val="auto"/>
          <w:sz w:val="30"/>
          <w:szCs w:val="30"/>
        </w:rPr>
        <w:t>于</w:t>
      </w:r>
      <w:r>
        <w:rPr>
          <w:rFonts w:hint="eastAsia" w:ascii="仿宋" w:hAnsi="仿宋" w:eastAsia="仿宋"/>
          <w:color w:val="auto"/>
          <w:sz w:val="30"/>
          <w:szCs w:val="30"/>
          <w:u w:val="single"/>
        </w:rPr>
        <w:t>60</w:t>
      </w:r>
      <w:r>
        <w:rPr>
          <w:rFonts w:hint="eastAsia" w:ascii="仿宋" w:hAnsi="仿宋" w:eastAsia="仿宋"/>
          <w:color w:val="auto"/>
          <w:sz w:val="30"/>
          <w:szCs w:val="30"/>
        </w:rPr>
        <w:t>分钟</w:t>
      </w:r>
      <w:r>
        <w:rPr>
          <w:rFonts w:ascii="仿宋" w:hAnsi="仿宋" w:eastAsia="仿宋"/>
          <w:color w:val="auto"/>
          <w:sz w:val="30"/>
          <w:szCs w:val="30"/>
        </w:rPr>
        <w:t>内到达现场</w:t>
      </w:r>
      <w:r>
        <w:rPr>
          <w:rFonts w:hint="eastAsia" w:ascii="仿宋" w:hAnsi="仿宋" w:eastAsia="仿宋"/>
          <w:color w:val="auto"/>
          <w:sz w:val="30"/>
          <w:szCs w:val="30"/>
        </w:rPr>
        <w:t>，单位</w:t>
      </w:r>
      <w:r>
        <w:rPr>
          <w:rFonts w:ascii="仿宋" w:hAnsi="仿宋" w:eastAsia="仿宋"/>
          <w:color w:val="auto"/>
          <w:sz w:val="30"/>
          <w:szCs w:val="30"/>
        </w:rPr>
        <w:t>技术负责人</w:t>
      </w:r>
      <w:r>
        <w:rPr>
          <w:rFonts w:hint="eastAsia" w:ascii="仿宋" w:hAnsi="仿宋" w:eastAsia="仿宋"/>
          <w:color w:val="auto"/>
          <w:sz w:val="30"/>
          <w:szCs w:val="30"/>
        </w:rPr>
        <w:t>1小时内到达现场</w:t>
      </w:r>
      <w:r>
        <w:rPr>
          <w:rFonts w:ascii="仿宋" w:hAnsi="仿宋" w:eastAsia="仿宋"/>
          <w:color w:val="auto"/>
          <w:sz w:val="30"/>
          <w:szCs w:val="30"/>
        </w:rPr>
        <w:t>并及时处理</w:t>
      </w:r>
      <w:r>
        <w:rPr>
          <w:rFonts w:hint="eastAsia" w:ascii="仿宋" w:hAnsi="仿宋" w:eastAsia="仿宋"/>
          <w:color w:val="auto"/>
          <w:sz w:val="30"/>
          <w:szCs w:val="30"/>
        </w:rPr>
        <w:t>，</w:t>
      </w:r>
      <w:r>
        <w:rPr>
          <w:rFonts w:ascii="仿宋" w:hAnsi="仿宋" w:eastAsia="仿宋"/>
          <w:color w:val="auto"/>
          <w:sz w:val="30"/>
          <w:szCs w:val="30"/>
        </w:rPr>
        <w:t>承诺接到从报修到修复完好不超过</w:t>
      </w:r>
      <w:r>
        <w:rPr>
          <w:rFonts w:hint="eastAsia" w:ascii="仿宋" w:hAnsi="仿宋" w:eastAsia="仿宋"/>
          <w:color w:val="auto"/>
          <w:sz w:val="30"/>
          <w:szCs w:val="30"/>
        </w:rPr>
        <w:t>8小时</w:t>
      </w:r>
      <w:r>
        <w:rPr>
          <w:rFonts w:ascii="仿宋" w:hAnsi="仿宋" w:eastAsia="仿宋"/>
          <w:color w:val="auto"/>
          <w:sz w:val="30"/>
          <w:szCs w:val="30"/>
        </w:rPr>
        <w:t>；若遇到疑难设备故障问题或者是特殊材料修复期为</w:t>
      </w:r>
      <w:r>
        <w:rPr>
          <w:rFonts w:hint="eastAsia" w:ascii="仿宋" w:hAnsi="仿宋" w:eastAsia="仿宋"/>
          <w:color w:val="auto"/>
          <w:sz w:val="30"/>
          <w:szCs w:val="30"/>
          <w:u w:val="single"/>
        </w:rPr>
        <w:t xml:space="preserve"> 5个 </w:t>
      </w:r>
      <w:r>
        <w:rPr>
          <w:rFonts w:hint="eastAsia" w:ascii="仿宋" w:hAnsi="仿宋" w:eastAsia="仿宋"/>
          <w:color w:val="auto"/>
          <w:sz w:val="30"/>
          <w:szCs w:val="30"/>
        </w:rPr>
        <w:t>自然</w:t>
      </w:r>
      <w:r>
        <w:rPr>
          <w:rFonts w:ascii="仿宋" w:hAnsi="仿宋" w:eastAsia="仿宋"/>
          <w:color w:val="auto"/>
          <w:sz w:val="30"/>
          <w:szCs w:val="30"/>
        </w:rPr>
        <w:t>日</w:t>
      </w:r>
      <w:r>
        <w:rPr>
          <w:rFonts w:hint="eastAsia" w:ascii="仿宋" w:hAnsi="仿宋" w:eastAsia="仿宋"/>
          <w:color w:val="auto"/>
          <w:sz w:val="30"/>
          <w:szCs w:val="30"/>
        </w:rPr>
        <w:t>（包括甲方付费部分）。</w:t>
      </w:r>
    </w:p>
    <w:p w14:paraId="396B628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3、值班、巡查、检测、灭火演练中发现住宅消防设施存在问题和故障的，相关人员应如实填写《消防设施设备故障追踪记录表》，并向物业公司消防安全管理人报告，及时通知维保单位维修。</w:t>
      </w:r>
    </w:p>
    <w:p w14:paraId="295FDDD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项目消防安全管理人对消防设施设备存在的问题和故障，应立即通知维修人员进行维修；维修期间，应采取确保消防安全的有效措施；故障排除后应进行相应功能试验并经单位消防安全管理人检查确认；故障及处理情况应记入《消防设施设备故障追踪记录表》。</w:t>
      </w:r>
    </w:p>
    <w:p w14:paraId="4C8CD576">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（四）、保养</w:t>
      </w:r>
    </w:p>
    <w:p w14:paraId="3737A1C9">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1、基本要求</w:t>
      </w:r>
    </w:p>
    <w:p w14:paraId="02DC63F2">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（1）对已建立台帐的设备，如进行了大中修及以上等级的维修时，需把维修情况登记到《设备台帐》中。</w:t>
      </w:r>
    </w:p>
    <w:p w14:paraId="447DC88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（2）对定期保养的项目按审批通过的《物业服务中心年度维修保养计划》实施。</w:t>
      </w:r>
    </w:p>
    <w:p w14:paraId="37AB4B9A">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（3）确保消防设施设备处在良好工作状态，设施功能完备无损坏。</w:t>
      </w:r>
    </w:p>
    <w:p w14:paraId="72AFC33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（4）确保消防专用工具配备齐全，消防室内有报警记录或原始打印记录单；确保消防报警打印机工作正常。</w:t>
      </w:r>
    </w:p>
    <w:p w14:paraId="0C3E06DD">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（5） 如实填写《设备设施维修保养记录表》。</w:t>
      </w:r>
    </w:p>
    <w:p w14:paraId="033CA04A">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2、电动机维修保养：</w:t>
      </w:r>
    </w:p>
    <w:p w14:paraId="1A4840B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 一级保养：(周期：每季度)</w:t>
      </w:r>
    </w:p>
    <w:p w14:paraId="69CEDD9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A、紧固各类紧固件，使用地阻仪检测电机接地阻值应小于10欧，否则应做相应处理后重新检查；检查各类紧固件是否锈蚀，若有锈蚀应更换；</w:t>
      </w:r>
    </w:p>
    <w:p w14:paraId="2A4F872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B、水泵投入运行后，使用钳形表检测三相电流，平衡度小于2%，并不超过额定值； C、检查电缆头，接线栓头是否牢固可靠，否则应做相应处理；</w:t>
      </w:r>
    </w:p>
    <w:p w14:paraId="7FA53AAA">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C、用500V摇表检测电动机线圈对地绝缘电阻是否在0．5MΩ以上；相间绝缘电阻是否在2MΩ以上，否则应烘干处理或修复；</w:t>
      </w:r>
    </w:p>
    <w:p w14:paraId="1A11B24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（2）二级保养：(周期：每年)</w:t>
      </w:r>
    </w:p>
    <w:p w14:paraId="5EBD966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A、完成全部一级保养内容。</w:t>
      </w:r>
    </w:p>
    <w:p w14:paraId="401BC48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B、检查电动机轴承有无阻滞或异常声响，如有则应更换同型号规格轴承；</w:t>
      </w:r>
    </w:p>
    <w:p w14:paraId="76B2C0F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C、检查电动机风叶有无碰壳现象，如有则应修整处理；</w:t>
      </w:r>
    </w:p>
    <w:p w14:paraId="311EB0C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D、检查电动机是否脱漆严重，如脱漆严重则应彻底铲除脱落层油漆后重新油漆。</w:t>
      </w:r>
    </w:p>
    <w:p w14:paraId="42EAC2B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3、消防水泵维修保养：</w:t>
      </w:r>
    </w:p>
    <w:p w14:paraId="6F9C67E2">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（1）一级保养：(周期：每季度)</w:t>
      </w:r>
    </w:p>
    <w:p w14:paraId="5E9A529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A、检查水泵轴承是否灵活，如有阻滞现象，则应加注润滑油；如有异常摩擦声响，则应更换同型号规格轴承，清洁水泵外表；</w:t>
      </w:r>
    </w:p>
    <w:p w14:paraId="0F0C1E62">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B、检查电动机与水泵弹性联轴器有无损坏，如损坏则应更换,检查水泵机组螺栓是否紧固，如松弛则应拧紧；检查各类紧固件是否锈蚀，若有锈蚀应更换；</w:t>
      </w:r>
    </w:p>
    <w:p w14:paraId="6DE1B2C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C、润滑油质、油量应符合要求，不足应及时加油，如发现油质变色、有铁屑应将润滑油全部更换。</w:t>
      </w:r>
    </w:p>
    <w:p w14:paraId="7B69CEEA">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D、检查盘根（水封）处是否漏水，如是则应加压盘根（更换水封）；生活水泵运行无异响，无异常震动，水泵轴无泄漏。（正常机密封泄漏应小于３滴／分，填料密封泄漏应处于10滴／分至20滴/分之间）润滑油箱内不能混入水分，油位在油标范围内，具体操作参考水泵说明书。</w:t>
      </w:r>
    </w:p>
    <w:p w14:paraId="6A5917F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（2）二级保养：(周期：每年)</w:t>
      </w:r>
    </w:p>
    <w:p w14:paraId="75CABE7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A、完成全部一级保养内容。</w:t>
      </w:r>
    </w:p>
    <w:p w14:paraId="5BB3E51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B、检查水泵轴承是否灵活，如有阻滞现象，则应加注润滑油；如有异常磨擦声响，则应更换同型号规格轴承；    </w:t>
      </w:r>
    </w:p>
    <w:p w14:paraId="1957B15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C、转动水泵轴，如果有卡住、碰撞现象，则应拆换同规格水泵叶轮；如果轴键槽损坏严重，则应更换同规格水泵轴；</w:t>
      </w:r>
    </w:p>
    <w:p w14:paraId="31DD852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D、如水泵脱漆或锈蚀严重，则应彻底铲除脱落层油漆，重新刷上油漆。</w:t>
      </w:r>
    </w:p>
    <w:p w14:paraId="00BF0252">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E、检查水泵机组螺栓是否紧固，如松弛则应拧紧；检查各类紧固件是否锈蚀，若有锈蚀应更换。</w:t>
      </w:r>
    </w:p>
    <w:p w14:paraId="3C3D89A9">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4、消防泵控制柜维修保养</w:t>
      </w:r>
    </w:p>
    <w:p w14:paraId="21944229">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（1）一级保养：(周期：每季)</w:t>
      </w:r>
    </w:p>
    <w:p w14:paraId="09D4DC2A">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A检查水泵动力配电柜中各电器有无过热、受潮、发霉现象，有无损坏情况，若有损坏应更换。</w:t>
      </w:r>
    </w:p>
    <w:p w14:paraId="31C44C8A">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B检查指示灯是否完好，若有损坏应更换。</w:t>
      </w:r>
    </w:p>
    <w:p w14:paraId="3692B38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C紧固二次回路。</w:t>
      </w:r>
    </w:p>
    <w:p w14:paraId="3803EB6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D检查并确保各部件功能正常。</w:t>
      </w:r>
    </w:p>
    <w:p w14:paraId="49EFF11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（2）二级保养：(周期：每年)</w:t>
      </w:r>
    </w:p>
    <w:p w14:paraId="6AD3A4F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A、完成全部一级保养内容。</w:t>
      </w:r>
    </w:p>
    <w:p w14:paraId="32B3465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B、用压缩空气、干净干抹布清洁柜内所有元器件，清洁控制柜外壳，务必使柜内无积尘、无污物；</w:t>
      </w:r>
    </w:p>
    <w:p w14:paraId="3B8F154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C、检查、紧固所有接线头，对于烧蚀严重的接线头应更换；</w:t>
      </w:r>
    </w:p>
    <w:p w14:paraId="19C7654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D、检查柜内所有线头的号码管是否清晰，是否有脱落现象，如是则应整改；</w:t>
      </w:r>
    </w:p>
    <w:p w14:paraId="2B03B44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E、交流接触器维修保养：</w:t>
      </w:r>
    </w:p>
    <w:p w14:paraId="06AB2C0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a.清除灭弧罩内的碳化物和金属颗粒；</w:t>
      </w:r>
    </w:p>
    <w:p w14:paraId="09EE4CB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b.清除触头表面及四周的污物(但不要修锉触头)，烧蚀严重不能正常工作的触头应更换；</w:t>
      </w:r>
    </w:p>
    <w:p w14:paraId="59F0D15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c.清洁铁芯上的油污及脏物；</w:t>
      </w:r>
    </w:p>
    <w:p w14:paraId="76ADACC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d.检查复位调簧情况；</w:t>
      </w:r>
    </w:p>
    <w:p w14:paraId="576C3AC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e.拧紧所有紧固件。</w:t>
      </w:r>
    </w:p>
    <w:p w14:paraId="0A102DF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F、可控硅软启动器维修保养：</w:t>
      </w:r>
    </w:p>
    <w:p w14:paraId="3FCE7F44">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a.不可用摇表测量绝缘电阻。</w:t>
      </w:r>
    </w:p>
    <w:p w14:paraId="587F017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b.外壳应可靠接地，如有松脱或锈蚀则应在除锈处理后，拧紧接地线。</w:t>
      </w:r>
    </w:p>
    <w:p w14:paraId="089D704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c.可控硅软启动器不可空载试运行。</w:t>
      </w:r>
    </w:p>
    <w:p w14:paraId="71BB381A">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G、热继电器维修保养：</w:t>
      </w:r>
    </w:p>
    <w:p w14:paraId="72BB80B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a.检查热继电器上的绝缘盖板是否完整无损，如损坏则应更换；</w:t>
      </w:r>
    </w:p>
    <w:p w14:paraId="4825771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b.检查热继电器的导线接头处有无过热痕迹或烧伤，如有则整修处理，处理后达不到要求的应更换。</w:t>
      </w:r>
    </w:p>
    <w:p w14:paraId="76CA7E82">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H、自动空气开关维修保养：</w:t>
      </w:r>
    </w:p>
    <w:p w14:paraId="5797D3E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a.用500V摇表测量绝缘电阻，应不低于lOO兆欧，否则应烘干处理；</w:t>
      </w:r>
    </w:p>
    <w:p w14:paraId="28A70B7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b.清除灭弧罩内的碳化物或金属颗粒，如果灭弧罩破裂则应更换；</w:t>
      </w:r>
    </w:p>
    <w:p w14:paraId="645C019A">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c.自动空气开关在闭合或断开过程中，其可动部分与灭弧室的零头应无卡住现象；</w:t>
      </w:r>
    </w:p>
    <w:p w14:paraId="68352DC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d.检查触头表面是否有小的金属颗粒，如有则应将其清除，但不能修锉，只能轻轻擦拭。</w:t>
      </w:r>
    </w:p>
    <w:p w14:paraId="365BC2D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I、中间继电器、信号继电器维修保养：对中间继电器、信号继电器应做模拟试验，检查二者的动作是否可靠，输出信号是否正确，如有问题则应更换同型号的中间继电器、信号继电器。</w:t>
      </w:r>
    </w:p>
    <w:p w14:paraId="31C80D1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J、信号灯、指示仪表维修保养：</w:t>
      </w:r>
    </w:p>
    <w:p w14:paraId="000F1692">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a.检查各信号灯是否正常，如有不亮则应更换相同规格的信号灯；</w:t>
      </w:r>
    </w:p>
    <w:p w14:paraId="02BA4A3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b.检查各指示仪表指示是否正确，如有偏差则应作适当调整，调整后偏差仍较大的则应更换。</w:t>
      </w:r>
    </w:p>
    <w:p w14:paraId="792759D9">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K、远传压力表维修保养：</w:t>
      </w:r>
    </w:p>
    <w:p w14:paraId="1E002299">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a.检查表内是否有积水，如有则应干燥处理；</w:t>
      </w:r>
    </w:p>
    <w:p w14:paraId="0E75394B">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b.检查信号线接头处是否腐蚀，如腐蚀较严重则应重新焊接；</w:t>
      </w:r>
    </w:p>
    <w:p w14:paraId="42F1368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c.偏差很大或信号线腐烂的远传压力表应拆换。</w:t>
      </w:r>
    </w:p>
    <w:p w14:paraId="35396224">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5、 闸阀、蝶阀、截止阀、减压阀、止回阀、浮球阀、液位控制器维修保养。（周期：每年）</w:t>
      </w:r>
    </w:p>
    <w:p w14:paraId="3ADC394A">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（1）闸阀、蝶阀、截止阀维修保养：</w:t>
      </w:r>
    </w:p>
    <w:p w14:paraId="736AA1EB">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A、检查密封胶垫处是否漏水，如漏水则应更换密封胶垫；</w:t>
      </w:r>
    </w:p>
    <w:p w14:paraId="63DCD78A">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B、检查压黄油麻绳处是否漏水，如漏水则应重新加压黄油麻油；</w:t>
      </w:r>
    </w:p>
    <w:p w14:paraId="7A166BF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C、对闸阀阀杆加黄油润滑；</w:t>
      </w:r>
    </w:p>
    <w:p w14:paraId="2FA8A65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D、对锈蚀严重的闸阀(明装)应在彻底铲除底漆后重新油漆。</w:t>
      </w:r>
    </w:p>
    <w:p w14:paraId="00D95B0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（2）减压阀、止回阀维修保养：</w:t>
      </w:r>
    </w:p>
    <w:p w14:paraId="0152EF5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A、检查减压阀、止回阀密封胶垫是否损坏，如损坏则应更换；</w:t>
      </w:r>
    </w:p>
    <w:p w14:paraId="46EAF9A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B、检查减压阀、止回阀弹簧弹力是否足够，如太软则应更换同规格弹簧；</w:t>
      </w:r>
    </w:p>
    <w:p w14:paraId="1B0A244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C、检查减压阀、止回阀油漆是否脱落，如脱落严重则应处理后重新油漆；</w:t>
      </w:r>
    </w:p>
    <w:p w14:paraId="1385AC47">
      <w:pPr>
        <w:spacing w:line="520" w:lineRule="exact"/>
        <w:ind w:left="298" w:leftChars="142" w:firstLine="300" w:firstLineChars="100"/>
        <w:rPr>
          <w:rFonts w:ascii="仿宋" w:hAnsi="仿宋" w:eastAsia="仿宋"/>
          <w:color w:val="auto"/>
          <w:sz w:val="30"/>
          <w:szCs w:val="30"/>
        </w:rPr>
      </w:pPr>
      <w:r>
        <w:rPr>
          <w:rFonts w:hint="eastAsia" w:ascii="仿宋" w:hAnsi="仿宋" w:eastAsia="仿宋"/>
          <w:color w:val="auto"/>
          <w:sz w:val="30"/>
          <w:szCs w:val="30"/>
        </w:rPr>
        <w:t>D、检查减压阀、止回阀功能是否正常，如有清除阀内异</w:t>
      </w:r>
    </w:p>
    <w:p w14:paraId="4C0F90F3">
      <w:pPr>
        <w:spacing w:line="520" w:lineRule="exact"/>
        <w:ind w:left="298" w:leftChars="142" w:firstLine="300" w:firstLineChars="100"/>
        <w:rPr>
          <w:rFonts w:ascii="仿宋" w:hAnsi="仿宋" w:eastAsia="仿宋"/>
          <w:color w:val="auto"/>
          <w:sz w:val="30"/>
          <w:szCs w:val="30"/>
        </w:rPr>
      </w:pPr>
      <w:r>
        <w:rPr>
          <w:rFonts w:hint="eastAsia" w:ascii="仿宋" w:hAnsi="仿宋" w:eastAsia="仿宋"/>
          <w:color w:val="auto"/>
          <w:sz w:val="30"/>
          <w:szCs w:val="30"/>
        </w:rPr>
        <w:t>（3）浮球阀维修保养：</w:t>
      </w:r>
    </w:p>
    <w:p w14:paraId="5EF55E9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A、检查浮球阀密封胶垫是否老化，如老化则应更换；</w:t>
      </w:r>
    </w:p>
    <w:p w14:paraId="2D69492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B、检查浮球阀连杆是否弯曲，如弯曲则应校直；</w:t>
      </w:r>
    </w:p>
    <w:p w14:paraId="16E8BF7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C、检查浮球阀连杆插销是否磨损严重，如磨损严重则应更换。</w:t>
      </w:r>
    </w:p>
    <w:p w14:paraId="152CEAD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（4）液位控制器维修保养：</w:t>
      </w:r>
    </w:p>
    <w:p w14:paraId="702E6F7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A、检查密封圈、密封胶垫是否损坏，如损坏则应更换；</w:t>
      </w:r>
    </w:p>
    <w:p w14:paraId="1EDC8FF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B、清除压力室内污物，疏通控制水道；</w:t>
      </w:r>
    </w:p>
    <w:p w14:paraId="06670AB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C、检查控制杆两端螺母是否紧固，如松弛则应拧紧；</w:t>
      </w:r>
    </w:p>
    <w:p w14:paraId="03181BD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D、紧固所有螺母。</w:t>
      </w:r>
    </w:p>
    <w:p w14:paraId="7C8DD784">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6、风机维修保养</w:t>
      </w:r>
    </w:p>
    <w:p w14:paraId="64FA9644">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（1）、一级保养：（周期：季）</w:t>
      </w:r>
    </w:p>
    <w:p w14:paraId="0D6B8644">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A、检查风机外观，有无机械损伤、掉漆现象，若有应做相应处理。</w:t>
      </w:r>
    </w:p>
    <w:p w14:paraId="201CB581">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B、紧固各类紧固件。</w:t>
      </w:r>
    </w:p>
    <w:p w14:paraId="01561EAD">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C、调整皮带的松紧度，用手盘动风轮，观察转动是否平稳，若不平稳应检查分析原因并在相应处理，必要时进行更换。</w:t>
      </w:r>
    </w:p>
    <w:p w14:paraId="3470DB61">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D、向转动部位填加润滑油，以保证联轴器及轴承的灵活性和稳定性。</w:t>
      </w:r>
    </w:p>
    <w:p w14:paraId="3E4C2906">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E、检查调节阀机械开闭动作是否灵活、可靠，开闭角度标志是否清晰。</w:t>
      </w:r>
    </w:p>
    <w:p w14:paraId="3E1B8B7D">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F、手动开机检查电压、电流表指示是否正常，风机各部件运转有无异声，三相电流值是否平衡。</w:t>
      </w:r>
    </w:p>
    <w:p w14:paraId="0ACBE514">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G、对检查发现的缺陷逐一修复。</w:t>
      </w:r>
    </w:p>
    <w:p w14:paraId="7663EA6B">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（2）、二级保养(周期：年)</w:t>
      </w:r>
    </w:p>
    <w:p w14:paraId="685C16A9">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A完成一级保养的内容。</w:t>
      </w:r>
    </w:p>
    <w:p w14:paraId="1A336656">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B检查与更换各接合面间的垫片和密封填料。</w:t>
      </w:r>
    </w:p>
    <w:p w14:paraId="34B82082">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C清洁电机内风轮、过滤器及机壳内部，对于油漆脱落处应补刷。</w:t>
      </w:r>
    </w:p>
    <w:p w14:paraId="6B74C66A">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D连续运行1小时，测试电机运行前后温度，计算电机温升是否正常，确保风机运转正常。</w:t>
      </w:r>
    </w:p>
    <w:p w14:paraId="6A450F99">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E对检查发现的缺陷逐一修复。</w:t>
      </w:r>
    </w:p>
    <w:p w14:paraId="4BA71FEE">
      <w:pPr>
        <w:numPr>
          <w:ilvl w:val="0"/>
          <w:numId w:val="2"/>
        </w:num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防火卷闸门系统维护保养要求及标准（周期：半年）</w:t>
      </w:r>
    </w:p>
    <w:p w14:paraId="55D8AED9">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（1）检查卷帘门电气自动控制、电气手动控制功能，若不正常应及时修复。</w:t>
      </w:r>
    </w:p>
    <w:p w14:paraId="5631FC9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（2）调节卷帘门上、下行程，确保上、下行程在规定范围内。</w:t>
      </w:r>
    </w:p>
    <w:p w14:paraId="0408B70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（3）全面检查，紧固各类紧固件，对局部变形及油漆脱落现象进行修复。</w:t>
      </w:r>
    </w:p>
    <w:p w14:paraId="7E89EAA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（4）用500V兆欧表测试电机绝缘，对地绝缘电阻不应小于0.5兆；相间绝缘电阻不应小于2兆；否则应烘干处理，确保绝缘正常后才能使用。</w:t>
      </w:r>
    </w:p>
    <w:p w14:paraId="0117190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（5）向转动部位填加润滑油，以保证联轴器及轴承的灵活性及稳定性。</w:t>
      </w:r>
    </w:p>
    <w:p w14:paraId="682FFAD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（6）调整电机传动链的松紧度。</w:t>
      </w:r>
    </w:p>
    <w:p w14:paraId="0A8062F7">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8、 消防管网系统保养</w:t>
      </w:r>
    </w:p>
    <w:p w14:paraId="00D9AFBF">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（1）对易污染、易腐蚀生锈的消防设备、管道、阀门应至少每年进行一次清洁、除锈、注润滑剂。</w:t>
      </w:r>
    </w:p>
    <w:p w14:paraId="544E62BB">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（2）室内消火栓系统至少每月应进行一次静压力检测；最不利点静压力（建筑高度100米以下不小于0.07MP, 建筑高度100米及以上不小于0.15MP），消防消火栓系统末端最高静压力不高于0.8 MP，否则应调节减压阀，确保消火栓系统压力符合使用压力要求；室外消火栓每季度至少进行一次放水试验。</w:t>
      </w:r>
    </w:p>
    <w:p w14:paraId="78F70C20">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（3）消防喷淋系统应至少每月进行末端压力检查，末端放水试验以确保末端压力符合使用压力要求；每半年应彻底检查喷淋头外观是否有破裂、渗漏、被遮挡情况，否则应做相应处理。</w:t>
      </w:r>
    </w:p>
    <w:p w14:paraId="614EF144">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9、探测器保养</w:t>
      </w:r>
    </w:p>
    <w:p w14:paraId="32145189">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点型感烟火灾探测器应根据产品说明书的要求定期清洗、标定；可燃气体探测器应根据产品说明书的要求定期进行标定；火灾探测器、可燃气体探测器的标定应由生产企业或具有资质的检测机构承担；承担标定的单位应出具标定记录。</w:t>
      </w:r>
    </w:p>
    <w:p w14:paraId="296F1292">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（2）探测器每月10%的比例对其灵敏度进行抽查，年度覆盖全部； </w:t>
      </w:r>
    </w:p>
    <w:p w14:paraId="20001F64">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10、火灾自动报警系统、消防电话系统、消防广播系统保养（周期：年）</w:t>
      </w:r>
    </w:p>
    <w:p w14:paraId="306AF4C4">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（1）全面除尘，二次线路紧固、整理。</w:t>
      </w:r>
    </w:p>
    <w:p w14:paraId="0000113E">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（2）各类标示检查，对于坏损，不清晰标示进行更换。</w:t>
      </w:r>
    </w:p>
    <w:p w14:paraId="749C3512">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（3）使用原始承档资料核对火灾自动报警主机点位，确保点位未被删除。</w:t>
      </w:r>
    </w:p>
    <w:p w14:paraId="4018B21C">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（4）消防CRT图形显示系统电脑主机除尘，系统清理、维护；软件备份。</w:t>
      </w:r>
    </w:p>
    <w:p w14:paraId="27702511">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（5） 各类功能测试，确保功能正常。</w:t>
      </w:r>
    </w:p>
    <w:p w14:paraId="3C43599F">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11、气体自动灭火控制系统维护保养（周期：年）</w:t>
      </w:r>
    </w:p>
    <w:p w14:paraId="5C774E27">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（1）全面除尘，二次线路紧固、整理。</w:t>
      </w:r>
    </w:p>
    <w:p w14:paraId="25912BAD">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（2）检查贮存容器的压力，正常应在规定的±10%之内。</w:t>
      </w:r>
    </w:p>
    <w:p w14:paraId="7DE9EDA3">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（3）检查所有的喷嘴出口，确保它们是畅通的。</w:t>
      </w:r>
    </w:p>
    <w:p w14:paraId="71DDDDA1">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（4）检查气瓶安全插销是否正常。</w:t>
      </w:r>
    </w:p>
    <w:p w14:paraId="56407ABD">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（5）检查气体灭火控制器控制面板，放气指示灯及警报器，确保其功能正常。</w:t>
      </w:r>
    </w:p>
    <w:p w14:paraId="4E198D08">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（6） 检查气体灭火装置是否在有效期内，否则应及时更换。</w:t>
      </w:r>
    </w:p>
    <w:p w14:paraId="547B6731">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 12、报警阀 （周期：季度）</w:t>
      </w:r>
    </w:p>
    <w:p w14:paraId="0E059F74">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（1）二次线路紧固，整齐；报警阀阀体除尘，紧固，油漆，清理。</w:t>
      </w:r>
    </w:p>
    <w:p w14:paraId="3C47F22E">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（2）测试压力开关功能，喷淋末端放水试验应动作可靠；</w:t>
      </w:r>
    </w:p>
    <w:p w14:paraId="419C1291">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（3）喷淋末端放水试验或喷淋头炸开后，水流指示器动作灵活，及时把报警信号传递到火灾自动报警系统主机；湿式报警阀能灵活打开；</w:t>
      </w:r>
    </w:p>
    <w:p w14:paraId="0247D7C2">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（4）除喷淋管道水流波动外，湿式报警阀动作并延迟15秒后，压力开关能将警信号传递到火灾自动报警系统主机。</w:t>
      </w:r>
    </w:p>
    <w:p w14:paraId="7F170AE9">
      <w:pPr>
        <w:snapToGrid w:val="0"/>
        <w:spacing w:line="520" w:lineRule="exact"/>
        <w:ind w:firstLine="600" w:firstLineChars="200"/>
        <w:rPr>
          <w:rFonts w:ascii="仿宋" w:hAnsi="仿宋" w:eastAsia="仿宋" w:cs="宋体"/>
          <w:bCs/>
          <w:color w:val="auto"/>
          <w:sz w:val="30"/>
          <w:szCs w:val="30"/>
        </w:rPr>
      </w:pPr>
      <w:r>
        <w:rPr>
          <w:rFonts w:hint="eastAsia" w:ascii="仿宋" w:hAnsi="仿宋" w:eastAsia="仿宋" w:cs="宋体"/>
          <w:bCs/>
          <w:color w:val="auto"/>
          <w:sz w:val="30"/>
          <w:szCs w:val="30"/>
        </w:rPr>
        <w:t>13、应急柜日常维护保养：（周期：季度）</w:t>
      </w:r>
    </w:p>
    <w:p w14:paraId="2DDB82D1">
      <w:pPr>
        <w:spacing w:line="52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（1）做好应急照明控制柜内外保洁工作；</w:t>
      </w:r>
    </w:p>
    <w:p w14:paraId="1403E6D2">
      <w:pPr>
        <w:spacing w:line="520" w:lineRule="exact"/>
        <w:ind w:firstLine="600" w:firstLineChars="200"/>
        <w:rPr>
          <w:rFonts w:ascii="仿宋" w:hAnsi="仿宋" w:eastAsia="仿宋" w:cs="宋体"/>
          <w:color w:val="auto"/>
          <w:sz w:val="30"/>
          <w:szCs w:val="30"/>
        </w:rPr>
      </w:pPr>
      <w:r>
        <w:rPr>
          <w:rFonts w:hint="eastAsia" w:ascii="仿宋" w:hAnsi="仿宋" w:eastAsia="仿宋"/>
          <w:color w:val="auto"/>
          <w:sz w:val="30"/>
          <w:szCs w:val="30"/>
        </w:rPr>
        <w:t>（2）</w:t>
      </w:r>
      <w:r>
        <w:rPr>
          <w:rFonts w:hint="eastAsia" w:ascii="仿宋" w:hAnsi="仿宋" w:eastAsia="仿宋" w:cs="宋体"/>
          <w:color w:val="auto"/>
          <w:sz w:val="30"/>
          <w:szCs w:val="30"/>
        </w:rPr>
        <w:t>检查应急照明电气自动控制、电气手动控制功能，若不正常应及时修复；</w:t>
      </w:r>
    </w:p>
    <w:p w14:paraId="7A3741A2">
      <w:pPr>
        <w:spacing w:line="520" w:lineRule="exact"/>
        <w:ind w:firstLine="600" w:firstLineChars="200"/>
        <w:rPr>
          <w:rFonts w:ascii="仿宋" w:hAnsi="仿宋" w:eastAsia="仿宋" w:cs="宋体"/>
          <w:color w:val="auto"/>
          <w:sz w:val="30"/>
          <w:szCs w:val="30"/>
        </w:rPr>
      </w:pPr>
      <w:r>
        <w:rPr>
          <w:rFonts w:hint="eastAsia" w:ascii="仿宋" w:hAnsi="仿宋" w:eastAsia="仿宋"/>
          <w:color w:val="auto"/>
          <w:sz w:val="30"/>
          <w:szCs w:val="30"/>
        </w:rPr>
        <w:t>（3）</w:t>
      </w:r>
      <w:r>
        <w:rPr>
          <w:rFonts w:hint="eastAsia" w:ascii="仿宋" w:hAnsi="仿宋" w:eastAsia="仿宋" w:cs="宋体"/>
          <w:color w:val="auto"/>
          <w:sz w:val="30"/>
          <w:szCs w:val="30"/>
        </w:rPr>
        <w:t>全面检查，紧固各类紧固件；</w:t>
      </w:r>
    </w:p>
    <w:p w14:paraId="4D0219F3">
      <w:pPr>
        <w:snapToGrid w:val="0"/>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w:t>
      </w:r>
      <w:r>
        <w:rPr>
          <w:rFonts w:hint="eastAsia" w:ascii="仿宋" w:hAnsi="仿宋" w:eastAsia="仿宋" w:cs="宋体"/>
          <w:color w:val="auto"/>
          <w:sz w:val="30"/>
          <w:szCs w:val="30"/>
        </w:rPr>
        <w:t>测试应急储电池工作时间是否能达到要求，若不能达到要求应及时提交报告给项目和服务管理中心。</w:t>
      </w:r>
    </w:p>
    <w:p w14:paraId="461B0BD7">
      <w:pPr>
        <w:snapToGrid w:val="0"/>
        <w:spacing w:line="520" w:lineRule="exact"/>
        <w:ind w:firstLine="600" w:firstLineChars="200"/>
        <w:rPr>
          <w:rFonts w:hint="eastAsia" w:ascii="仿宋" w:hAnsi="仿宋" w:eastAsia="仿宋" w:cs="宋体"/>
          <w:bCs/>
          <w:color w:val="auto"/>
          <w:sz w:val="30"/>
          <w:szCs w:val="30"/>
        </w:rPr>
      </w:pPr>
      <w:r>
        <w:rPr>
          <w:rFonts w:hint="eastAsia" w:ascii="仿宋" w:hAnsi="仿宋" w:eastAsia="仿宋" w:cs="宋体"/>
          <w:bCs/>
          <w:color w:val="auto"/>
          <w:sz w:val="30"/>
          <w:szCs w:val="30"/>
          <w:lang w:val="en-US" w:eastAsia="zh-CN"/>
        </w:rPr>
        <w:t>14、</w:t>
      </w:r>
      <w:r>
        <w:rPr>
          <w:rFonts w:hint="eastAsia" w:ascii="仿宋" w:hAnsi="仿宋" w:eastAsia="仿宋" w:cs="宋体"/>
          <w:bCs/>
          <w:color w:val="auto"/>
          <w:sz w:val="30"/>
          <w:szCs w:val="30"/>
        </w:rPr>
        <w:t>消防管网保养（周期：季度）</w:t>
      </w:r>
    </w:p>
    <w:p w14:paraId="4F59CC00">
      <w:pPr>
        <w:spacing w:line="520" w:lineRule="exact"/>
        <w:ind w:firstLine="600" w:firstLineChars="200"/>
        <w:rPr>
          <w:rFonts w:hint="eastAsia" w:ascii="仿宋" w:hAnsi="仿宋" w:eastAsia="仿宋" w:cs="宋体"/>
          <w:color w:val="auto"/>
          <w:sz w:val="30"/>
          <w:szCs w:val="30"/>
        </w:rPr>
      </w:pPr>
      <w:r>
        <w:rPr>
          <w:rFonts w:hint="eastAsia" w:ascii="仿宋" w:hAnsi="仿宋" w:eastAsia="仿宋" w:cs="宋体"/>
          <w:color w:val="auto"/>
          <w:sz w:val="30"/>
          <w:szCs w:val="30"/>
        </w:rPr>
        <w:t>（1）、对室内外消防管网进行巡查，检查管道、阀门、接口等是否正常，是否有泄露、堵塞等现象。</w:t>
      </w:r>
    </w:p>
    <w:p w14:paraId="19894C1A">
      <w:pPr>
        <w:spacing w:line="520" w:lineRule="exact"/>
        <w:ind w:firstLine="600" w:firstLineChars="200"/>
        <w:rPr>
          <w:rFonts w:ascii="仿宋" w:hAnsi="仿宋" w:eastAsia="仿宋"/>
          <w:color w:val="auto"/>
          <w:kern w:val="0"/>
          <w:sz w:val="30"/>
          <w:szCs w:val="30"/>
        </w:rPr>
      </w:pPr>
      <w:r>
        <w:rPr>
          <w:rFonts w:hint="eastAsia" w:ascii="仿宋" w:hAnsi="仿宋" w:eastAsia="仿宋" w:cs="宋体"/>
          <w:color w:val="auto"/>
          <w:sz w:val="30"/>
          <w:szCs w:val="30"/>
        </w:rPr>
        <w:t>（2）、对室内外消防管网进行防腐保护，消防管网油漆如有起皮、开裂、脱落的现象，应采用防绣漆、防腐涂料等措施防止管道生锈腐蚀。</w:t>
      </w:r>
      <w:r>
        <w:rPr>
          <w:rFonts w:hint="eastAsia" w:ascii="仿宋" w:hAnsi="仿宋" w:eastAsia="仿宋"/>
          <w:color w:val="auto"/>
          <w:kern w:val="0"/>
          <w:sz w:val="30"/>
          <w:szCs w:val="30"/>
        </w:rPr>
        <w:br w:type="page"/>
      </w:r>
    </w:p>
    <w:p w14:paraId="7A0DABF6">
      <w:pPr>
        <w:snapToGrid w:val="0"/>
        <w:spacing w:before="240" w:line="520" w:lineRule="exact"/>
        <w:rPr>
          <w:rFonts w:ascii="仿宋" w:hAnsi="仿宋" w:eastAsia="仿宋"/>
          <w:b/>
          <w:bCs/>
          <w:color w:val="auto"/>
          <w:sz w:val="30"/>
          <w:szCs w:val="30"/>
        </w:rPr>
      </w:pPr>
      <w:r>
        <w:rPr>
          <w:rFonts w:hint="eastAsia" w:ascii="仿宋" w:hAnsi="仿宋" w:eastAsia="仿宋"/>
          <w:b/>
          <w:bCs/>
          <w:color w:val="auto"/>
          <w:sz w:val="30"/>
          <w:szCs w:val="30"/>
        </w:rPr>
        <w:t>附件二：消防维保月度总结模板</w:t>
      </w:r>
    </w:p>
    <w:p w14:paraId="4969913C">
      <w:pPr>
        <w:spacing w:line="520" w:lineRule="exact"/>
        <w:ind w:firstLine="600" w:firstLineChars="200"/>
        <w:jc w:val="center"/>
        <w:rPr>
          <w:rFonts w:ascii="仿宋" w:hAnsi="仿宋" w:eastAsia="仿宋"/>
          <w:color w:val="auto"/>
          <w:sz w:val="30"/>
          <w:szCs w:val="30"/>
        </w:rPr>
      </w:pPr>
      <w:r>
        <w:rPr>
          <w:rFonts w:hint="eastAsia" w:ascii="仿宋" w:hAnsi="仿宋" w:eastAsia="仿宋"/>
          <w:color w:val="auto"/>
          <w:sz w:val="30"/>
          <w:szCs w:val="30"/>
        </w:rPr>
        <w:t>中马广场项目</w:t>
      </w:r>
      <w:r>
        <w:rPr>
          <w:rFonts w:ascii="仿宋" w:hAnsi="仿宋" w:eastAsia="仿宋"/>
          <w:color w:val="auto"/>
          <w:sz w:val="30"/>
          <w:szCs w:val="30"/>
        </w:rPr>
        <w:t>消防维保</w:t>
      </w:r>
      <w:r>
        <w:rPr>
          <w:rFonts w:hint="eastAsia" w:ascii="仿宋" w:hAnsi="仿宋" w:eastAsia="仿宋"/>
          <w:color w:val="auto"/>
          <w:sz w:val="30"/>
          <w:szCs w:val="30"/>
        </w:rPr>
        <w:t>月度</w:t>
      </w:r>
      <w:r>
        <w:rPr>
          <w:rFonts w:ascii="仿宋" w:hAnsi="仿宋" w:eastAsia="仿宋"/>
          <w:color w:val="auto"/>
          <w:sz w:val="30"/>
          <w:szCs w:val="30"/>
        </w:rPr>
        <w:t>工作总结</w:t>
      </w:r>
    </w:p>
    <w:p w14:paraId="4024D4AE">
      <w:pPr>
        <w:spacing w:line="520" w:lineRule="exact"/>
        <w:ind w:firstLine="600" w:firstLineChars="200"/>
        <w:rPr>
          <w:rFonts w:ascii="仿宋" w:hAnsi="仿宋" w:eastAsia="仿宋"/>
          <w:color w:val="auto"/>
          <w:sz w:val="30"/>
          <w:szCs w:val="30"/>
        </w:rPr>
      </w:pPr>
      <w:r>
        <w:rPr>
          <w:rFonts w:ascii="仿宋" w:hAnsi="仿宋" w:eastAsia="仿宋"/>
          <w:color w:val="auto"/>
          <w:sz w:val="30"/>
          <w:szCs w:val="30"/>
        </w:rPr>
        <w:t>（一）日常巡检工作：</w:t>
      </w:r>
    </w:p>
    <w:p w14:paraId="6A7E6E59">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1、本月度我公司按照年度维保计划，每周对消防主要设施设备（发电机，应急柜，火灾自动报警系统，消防供水设施，自动喷水灭火系统，气体灭火系统，防烟、排烟系统，应急广播系统，消防专用电话，防火分隔设施，消防电梯）进行全面巡查；</w:t>
      </w:r>
    </w:p>
    <w:p w14:paraId="221A81E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2、本月度对栋至栋；地下室防火分区至防火分区的全部火灾报警探测器和手动报警按钮，末端试水装置，消火栓，消火栓启泵按钮，应急照明和疏散指示标志进行功能检查； </w:t>
      </w:r>
    </w:p>
    <w:p w14:paraId="48B2255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3、检查结果：</w:t>
      </w:r>
    </w:p>
    <w:p w14:paraId="6D3F40CC">
      <w:pPr>
        <w:spacing w:line="520" w:lineRule="exact"/>
        <w:ind w:firstLine="600" w:firstLineChars="200"/>
        <w:rPr>
          <w:rFonts w:ascii="仿宋" w:hAnsi="仿宋" w:eastAsia="仿宋"/>
          <w:color w:val="auto"/>
          <w:sz w:val="30"/>
          <w:szCs w:val="30"/>
        </w:rPr>
      </w:pPr>
      <w:r>
        <w:rPr>
          <w:rFonts w:ascii="仿宋" w:hAnsi="仿宋" w:eastAsia="仿宋"/>
          <w:color w:val="auto"/>
          <w:sz w:val="30"/>
          <w:szCs w:val="30"/>
        </w:rPr>
        <w:t>（</w:t>
      </w:r>
      <w:r>
        <w:rPr>
          <w:rFonts w:hint="eastAsia" w:ascii="仿宋" w:hAnsi="仿宋" w:eastAsia="仿宋"/>
          <w:color w:val="auto"/>
          <w:sz w:val="30"/>
          <w:szCs w:val="30"/>
        </w:rPr>
        <w:t>二</w:t>
      </w:r>
      <w:r>
        <w:rPr>
          <w:rFonts w:ascii="仿宋" w:hAnsi="仿宋" w:eastAsia="仿宋"/>
          <w:color w:val="auto"/>
          <w:sz w:val="30"/>
          <w:szCs w:val="30"/>
        </w:rPr>
        <w:t>）日常维</w:t>
      </w:r>
      <w:r>
        <w:rPr>
          <w:rFonts w:hint="eastAsia" w:ascii="仿宋" w:hAnsi="仿宋" w:eastAsia="仿宋"/>
          <w:color w:val="auto"/>
          <w:sz w:val="30"/>
          <w:szCs w:val="30"/>
        </w:rPr>
        <w:t>修</w:t>
      </w:r>
      <w:r>
        <w:rPr>
          <w:rFonts w:ascii="仿宋" w:hAnsi="仿宋" w:eastAsia="仿宋"/>
          <w:color w:val="auto"/>
          <w:sz w:val="30"/>
          <w:szCs w:val="30"/>
        </w:rPr>
        <w:t>工作：</w:t>
      </w:r>
    </w:p>
    <w:p w14:paraId="61F216A2">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根据维保合同，本月度我公司维修人员根据巡检，检测结果对以下设备进行了维修：</w:t>
      </w:r>
    </w:p>
    <w:p w14:paraId="0C3FE4C2">
      <w:pPr>
        <w:spacing w:line="520" w:lineRule="exact"/>
        <w:ind w:firstLine="600" w:firstLineChars="200"/>
        <w:jc w:val="left"/>
        <w:rPr>
          <w:rFonts w:ascii="仿宋" w:hAnsi="仿宋" w:eastAsia="仿宋"/>
          <w:color w:val="auto"/>
          <w:sz w:val="30"/>
          <w:szCs w:val="30"/>
        </w:rPr>
      </w:pPr>
      <w:r>
        <w:rPr>
          <w:rFonts w:ascii="仿宋" w:hAnsi="仿宋" w:eastAsia="仿宋"/>
          <w:color w:val="auto"/>
          <w:sz w:val="30"/>
          <w:szCs w:val="30"/>
        </w:rPr>
        <w:t>（</w:t>
      </w:r>
      <w:r>
        <w:rPr>
          <w:rFonts w:hint="eastAsia" w:ascii="仿宋" w:hAnsi="仿宋" w:eastAsia="仿宋"/>
          <w:color w:val="auto"/>
          <w:sz w:val="30"/>
          <w:szCs w:val="30"/>
        </w:rPr>
        <w:t>三</w:t>
      </w:r>
      <w:r>
        <w:rPr>
          <w:rFonts w:ascii="仿宋" w:hAnsi="仿宋" w:eastAsia="仿宋"/>
          <w:color w:val="auto"/>
          <w:sz w:val="30"/>
          <w:szCs w:val="30"/>
        </w:rPr>
        <w:t>）日常</w:t>
      </w:r>
      <w:r>
        <w:rPr>
          <w:rFonts w:hint="eastAsia" w:ascii="仿宋" w:hAnsi="仿宋" w:eastAsia="仿宋"/>
          <w:color w:val="auto"/>
          <w:sz w:val="30"/>
          <w:szCs w:val="30"/>
        </w:rPr>
        <w:t>保养</w:t>
      </w:r>
      <w:r>
        <w:rPr>
          <w:rFonts w:ascii="仿宋" w:hAnsi="仿宋" w:eastAsia="仿宋"/>
          <w:color w:val="auto"/>
          <w:sz w:val="30"/>
          <w:szCs w:val="30"/>
        </w:rPr>
        <w:t>工作：</w:t>
      </w:r>
    </w:p>
    <w:p w14:paraId="6E0F3E30">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1、电动机保养：</w:t>
      </w:r>
    </w:p>
    <w:p w14:paraId="43AF075C">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2、消防水泵保养：</w:t>
      </w:r>
    </w:p>
    <w:p w14:paraId="60B13F9B">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3、消防泵控制柜保养：</w:t>
      </w:r>
    </w:p>
    <w:p w14:paraId="4A3C8480">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4、闸阀、蝶阀、截止阀、减压阀、止回阀、浮球阀、液位控制器保养：</w:t>
      </w:r>
    </w:p>
    <w:p w14:paraId="2F53F239">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5、风机保养：</w:t>
      </w:r>
    </w:p>
    <w:p w14:paraId="38989B0C">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6、防火卷闸门保养：</w:t>
      </w:r>
    </w:p>
    <w:p w14:paraId="233BBD56">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7、消防管网系统保养：</w:t>
      </w:r>
    </w:p>
    <w:p w14:paraId="463856DC">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8、探测器保养：</w:t>
      </w:r>
    </w:p>
    <w:p w14:paraId="1B509FBC">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9、火灾自动报警系统、消防电话系统、消防广播系统保养：</w:t>
      </w:r>
    </w:p>
    <w:p w14:paraId="44B0F77F">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10、气体自动灭火控制系统维护保养：</w:t>
      </w:r>
    </w:p>
    <w:p w14:paraId="5BE56503">
      <w:pPr>
        <w:spacing w:line="520" w:lineRule="exact"/>
        <w:ind w:firstLine="600" w:firstLineChars="200"/>
        <w:jc w:val="left"/>
        <w:rPr>
          <w:rFonts w:hint="eastAsia" w:ascii="仿宋" w:hAnsi="仿宋" w:eastAsia="仿宋"/>
          <w:color w:val="auto"/>
          <w:sz w:val="30"/>
          <w:szCs w:val="30"/>
        </w:rPr>
      </w:pPr>
      <w:r>
        <w:rPr>
          <w:rFonts w:hint="eastAsia" w:ascii="仿宋" w:hAnsi="仿宋" w:eastAsia="仿宋"/>
          <w:color w:val="auto"/>
          <w:sz w:val="30"/>
          <w:szCs w:val="30"/>
        </w:rPr>
        <w:t>11、报警阀保养：</w:t>
      </w:r>
    </w:p>
    <w:p w14:paraId="1BB0CA7A">
      <w:pPr>
        <w:spacing w:line="520" w:lineRule="exact"/>
        <w:ind w:left="420" w:leftChars="200"/>
        <w:jc w:val="left"/>
        <w:rPr>
          <w:rFonts w:ascii="仿宋" w:hAnsi="仿宋" w:eastAsia="仿宋"/>
          <w:color w:val="auto"/>
          <w:sz w:val="30"/>
          <w:szCs w:val="30"/>
        </w:rPr>
      </w:pPr>
      <w:r>
        <w:rPr>
          <w:rFonts w:hint="eastAsia" w:ascii="仿宋" w:hAnsi="仿宋" w:eastAsia="仿宋"/>
          <w:color w:val="auto"/>
          <w:sz w:val="30"/>
          <w:szCs w:val="30"/>
        </w:rPr>
        <w:t>（四）年度检测工作：</w:t>
      </w:r>
    </w:p>
    <w:p w14:paraId="56A0935A">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1、消防供配电设施的检测内容部分：</w:t>
      </w:r>
    </w:p>
    <w:p w14:paraId="3CB318AC">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2、火灾自动报警系统的检测内容部分：</w:t>
      </w:r>
    </w:p>
    <w:p w14:paraId="3D05E5F0">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3、消防供水设施的检测内容部分：</w:t>
      </w:r>
    </w:p>
    <w:p w14:paraId="0303EF24">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4、气体灭火系统的检测部分：</w:t>
      </w:r>
    </w:p>
    <w:p w14:paraId="626636B5">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5、防烟排烟系统的检测部分：</w:t>
      </w:r>
    </w:p>
    <w:p w14:paraId="6CD8E916">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6、应急照明系统的检测部分：</w:t>
      </w:r>
    </w:p>
    <w:p w14:paraId="3D7D284F">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7、消防应急广播系统的检测部分：</w:t>
      </w:r>
    </w:p>
    <w:p w14:paraId="2541BEB2">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8、消防专用电话的检测内容部分：</w:t>
      </w:r>
    </w:p>
    <w:p w14:paraId="39E864E8">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9、防火分隔设施的检测部分：</w:t>
      </w:r>
    </w:p>
    <w:p w14:paraId="1D20896D">
      <w:pPr>
        <w:spacing w:line="52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10、消防电梯的检测部分：</w:t>
      </w:r>
    </w:p>
    <w:p w14:paraId="7C02EBDB">
      <w:pPr>
        <w:spacing w:line="520" w:lineRule="exact"/>
        <w:jc w:val="left"/>
        <w:rPr>
          <w:rFonts w:ascii="仿宋" w:hAnsi="仿宋" w:eastAsia="仿宋"/>
          <w:color w:val="auto"/>
          <w:sz w:val="30"/>
          <w:szCs w:val="30"/>
        </w:rPr>
      </w:pPr>
    </w:p>
    <w:p w14:paraId="4A83359B">
      <w:pPr>
        <w:spacing w:line="520" w:lineRule="exact"/>
        <w:jc w:val="left"/>
        <w:rPr>
          <w:rFonts w:ascii="仿宋" w:hAnsi="仿宋" w:eastAsia="仿宋"/>
          <w:color w:val="auto"/>
          <w:sz w:val="30"/>
          <w:szCs w:val="30"/>
        </w:rPr>
      </w:pPr>
      <w:r>
        <w:rPr>
          <w:rFonts w:hint="eastAsia" w:ascii="仿宋" w:hAnsi="仿宋" w:eastAsia="仿宋"/>
          <w:color w:val="auto"/>
          <w:sz w:val="30"/>
          <w:szCs w:val="30"/>
        </w:rPr>
        <w:t>检测结果：</w:t>
      </w:r>
    </w:p>
    <w:p w14:paraId="5923B881">
      <w:pPr>
        <w:spacing w:line="520" w:lineRule="exact"/>
        <w:ind w:firstLine="2560" w:firstLineChars="850"/>
        <w:jc w:val="right"/>
        <w:rPr>
          <w:rFonts w:ascii="仿宋" w:hAnsi="仿宋" w:eastAsia="仿宋"/>
          <w:b/>
          <w:color w:val="auto"/>
          <w:sz w:val="30"/>
          <w:szCs w:val="30"/>
        </w:rPr>
      </w:pPr>
    </w:p>
    <w:p w14:paraId="67D68D61">
      <w:pPr>
        <w:spacing w:line="520" w:lineRule="exact"/>
        <w:ind w:firstLine="2560" w:firstLineChars="850"/>
        <w:jc w:val="right"/>
        <w:rPr>
          <w:rFonts w:ascii="仿宋" w:hAnsi="仿宋" w:eastAsia="仿宋"/>
          <w:b/>
          <w:color w:val="auto"/>
          <w:sz w:val="30"/>
          <w:szCs w:val="30"/>
        </w:rPr>
      </w:pPr>
    </w:p>
    <w:p w14:paraId="584E32B8">
      <w:pPr>
        <w:spacing w:line="520" w:lineRule="exact"/>
        <w:ind w:firstLine="4800" w:firstLineChars="1600"/>
        <w:jc w:val="left"/>
        <w:rPr>
          <w:rFonts w:ascii="仿宋" w:hAnsi="仿宋" w:eastAsia="仿宋"/>
          <w:color w:val="auto"/>
          <w:sz w:val="30"/>
          <w:szCs w:val="30"/>
        </w:rPr>
      </w:pPr>
      <w:r>
        <w:rPr>
          <w:rFonts w:hint="eastAsia" w:ascii="仿宋" w:hAnsi="仿宋" w:eastAsia="仿宋"/>
          <w:color w:val="auto"/>
          <w:sz w:val="30"/>
          <w:szCs w:val="30"/>
        </w:rPr>
        <w:t xml:space="preserve">维保单位（签章）：   </w:t>
      </w:r>
    </w:p>
    <w:p w14:paraId="044A2F95">
      <w:pPr>
        <w:spacing w:line="520" w:lineRule="exact"/>
        <w:ind w:firstLine="2550" w:firstLineChars="850"/>
        <w:jc w:val="right"/>
        <w:rPr>
          <w:rFonts w:ascii="仿宋" w:hAnsi="仿宋" w:eastAsia="仿宋"/>
          <w:color w:val="auto"/>
          <w:sz w:val="30"/>
          <w:szCs w:val="30"/>
        </w:rPr>
      </w:pPr>
    </w:p>
    <w:p w14:paraId="310E5C4C">
      <w:pPr>
        <w:spacing w:line="520" w:lineRule="exact"/>
        <w:ind w:firstLine="3450" w:firstLineChars="1150"/>
        <w:jc w:val="right"/>
        <w:rPr>
          <w:rFonts w:ascii="仿宋" w:hAnsi="仿宋" w:eastAsia="仿宋"/>
          <w:color w:val="auto"/>
          <w:sz w:val="30"/>
          <w:szCs w:val="30"/>
        </w:rPr>
      </w:pPr>
      <w:r>
        <w:rPr>
          <w:rFonts w:hint="eastAsia" w:ascii="仿宋" w:hAnsi="仿宋" w:eastAsia="仿宋"/>
          <w:color w:val="auto"/>
          <w:sz w:val="30"/>
          <w:szCs w:val="30"/>
        </w:rPr>
        <w:t>时间：   年    月    日</w:t>
      </w:r>
    </w:p>
    <w:p w14:paraId="7755AC93">
      <w:pPr>
        <w:widowControl/>
        <w:snapToGrid w:val="0"/>
        <w:spacing w:line="520" w:lineRule="exact"/>
        <w:outlineLvl w:val="2"/>
        <w:rPr>
          <w:rFonts w:ascii="仿宋" w:hAnsi="仿宋" w:eastAsia="仿宋"/>
          <w:color w:val="auto"/>
          <w:kern w:val="0"/>
          <w:sz w:val="30"/>
          <w:szCs w:val="30"/>
        </w:rPr>
      </w:pPr>
      <w:r>
        <w:rPr>
          <w:rFonts w:hint="eastAsia" w:ascii="仿宋" w:hAnsi="仿宋" w:eastAsia="仿宋"/>
          <w:color w:val="auto"/>
          <w:kern w:val="0"/>
          <w:sz w:val="30"/>
          <w:szCs w:val="30"/>
        </w:rPr>
        <w:br w:type="page"/>
      </w:r>
    </w:p>
    <w:p w14:paraId="5FCAD5D4">
      <w:pPr>
        <w:snapToGrid w:val="0"/>
        <w:spacing w:before="240" w:after="240" w:line="520" w:lineRule="exact"/>
        <w:rPr>
          <w:rFonts w:ascii="仿宋" w:hAnsi="仿宋" w:eastAsia="仿宋"/>
          <w:b/>
          <w:bCs/>
          <w:color w:val="auto"/>
          <w:sz w:val="30"/>
          <w:szCs w:val="30"/>
        </w:rPr>
      </w:pPr>
      <w:r>
        <w:rPr>
          <w:rFonts w:hint="eastAsia" w:ascii="仿宋" w:hAnsi="仿宋" w:eastAsia="仿宋"/>
          <w:b/>
          <w:bCs/>
          <w:color w:val="auto"/>
          <w:sz w:val="30"/>
          <w:szCs w:val="30"/>
        </w:rPr>
        <w:t>附件三：消防维保违约具体情形及扣款</w:t>
      </w:r>
    </w:p>
    <w:tbl>
      <w:tblPr>
        <w:tblStyle w:val="10"/>
        <w:tblW w:w="92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4756"/>
        <w:gridCol w:w="1620"/>
        <w:gridCol w:w="2011"/>
      </w:tblGrid>
      <w:tr w14:paraId="08CDF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25" w:type="dxa"/>
            <w:vAlign w:val="center"/>
          </w:tcPr>
          <w:p w14:paraId="6E82B4C5">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序号</w:t>
            </w:r>
          </w:p>
        </w:tc>
        <w:tc>
          <w:tcPr>
            <w:tcW w:w="4756" w:type="dxa"/>
            <w:vAlign w:val="center"/>
          </w:tcPr>
          <w:p w14:paraId="0A5A92C1">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奖扣标准</w:t>
            </w:r>
          </w:p>
        </w:tc>
        <w:tc>
          <w:tcPr>
            <w:tcW w:w="1620" w:type="dxa"/>
            <w:vAlign w:val="center"/>
          </w:tcPr>
          <w:p w14:paraId="6DEFF80C">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奖扣金额</w:t>
            </w:r>
          </w:p>
        </w:tc>
        <w:tc>
          <w:tcPr>
            <w:tcW w:w="2011" w:type="dxa"/>
            <w:vAlign w:val="center"/>
          </w:tcPr>
          <w:p w14:paraId="25DAB492">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备注</w:t>
            </w:r>
          </w:p>
        </w:tc>
      </w:tr>
      <w:tr w14:paraId="2ED3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25" w:type="dxa"/>
            <w:vAlign w:val="center"/>
          </w:tcPr>
          <w:p w14:paraId="3440AE4B">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1</w:t>
            </w:r>
          </w:p>
        </w:tc>
        <w:tc>
          <w:tcPr>
            <w:tcW w:w="4756" w:type="dxa"/>
            <w:vAlign w:val="center"/>
          </w:tcPr>
          <w:p w14:paraId="38AD0984">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在设备发生紧急故障或其他突发事件时，乙方未按合同约定时间（60分钟）内到达现场且未造成人员伤亡及较大财产损失的</w:t>
            </w:r>
          </w:p>
        </w:tc>
        <w:tc>
          <w:tcPr>
            <w:tcW w:w="1620" w:type="dxa"/>
            <w:vAlign w:val="center"/>
          </w:tcPr>
          <w:p w14:paraId="220DF036">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扣款2000元/次</w:t>
            </w:r>
          </w:p>
        </w:tc>
        <w:tc>
          <w:tcPr>
            <w:tcW w:w="2011" w:type="dxa"/>
            <w:vAlign w:val="center"/>
          </w:tcPr>
          <w:p w14:paraId="646EF2CB">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造成人员伤亡，较大财产损失的按合同约定处理</w:t>
            </w:r>
          </w:p>
        </w:tc>
      </w:tr>
      <w:tr w14:paraId="3ED8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825" w:type="dxa"/>
            <w:vAlign w:val="center"/>
          </w:tcPr>
          <w:p w14:paraId="4F573B62">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2</w:t>
            </w:r>
          </w:p>
        </w:tc>
        <w:tc>
          <w:tcPr>
            <w:tcW w:w="4756" w:type="dxa"/>
            <w:vAlign w:val="center"/>
          </w:tcPr>
          <w:p w14:paraId="3E8F9142">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在设备发生故障或其他突发事件时，乙方虽按合同约定时间到达现场，但未及时处理的及因乙方原因导致设备故障未在甲方指定时间内修复完成的，均未造成人员伤亡及较大财产损失的</w:t>
            </w:r>
          </w:p>
        </w:tc>
        <w:tc>
          <w:tcPr>
            <w:tcW w:w="1620" w:type="dxa"/>
            <w:vAlign w:val="center"/>
          </w:tcPr>
          <w:p w14:paraId="463E0CAE">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扣款超时的200元/小时</w:t>
            </w:r>
          </w:p>
        </w:tc>
        <w:tc>
          <w:tcPr>
            <w:tcW w:w="2011" w:type="dxa"/>
            <w:vAlign w:val="center"/>
          </w:tcPr>
          <w:p w14:paraId="52CDA1A5">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造成人员伤亡，较大财产损失的按合同约定处理</w:t>
            </w:r>
          </w:p>
        </w:tc>
      </w:tr>
      <w:tr w14:paraId="7E78C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25" w:type="dxa"/>
            <w:vAlign w:val="center"/>
          </w:tcPr>
          <w:p w14:paraId="34B29304">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3</w:t>
            </w:r>
          </w:p>
        </w:tc>
        <w:tc>
          <w:tcPr>
            <w:tcW w:w="4756" w:type="dxa"/>
            <w:vAlign w:val="center"/>
          </w:tcPr>
          <w:p w14:paraId="61121497">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乙方进行日常、月度、季度、年度维保现场品质未到达合同附件约定的维保标准的，未造成人员伤亡、较大财产损失的</w:t>
            </w:r>
          </w:p>
        </w:tc>
        <w:tc>
          <w:tcPr>
            <w:tcW w:w="1620" w:type="dxa"/>
            <w:vAlign w:val="center"/>
          </w:tcPr>
          <w:p w14:paraId="37B268DD">
            <w:pPr>
              <w:spacing w:line="520" w:lineRule="exact"/>
              <w:ind w:firstLine="150" w:firstLineChars="50"/>
              <w:rPr>
                <w:rFonts w:ascii="仿宋" w:hAnsi="仿宋" w:eastAsia="仿宋" w:cs="宋体"/>
                <w:color w:val="auto"/>
                <w:sz w:val="30"/>
                <w:szCs w:val="30"/>
              </w:rPr>
            </w:pPr>
            <w:r>
              <w:rPr>
                <w:rFonts w:hint="eastAsia" w:ascii="仿宋" w:hAnsi="仿宋" w:eastAsia="仿宋" w:cs="宋体"/>
                <w:color w:val="auto"/>
                <w:sz w:val="30"/>
                <w:szCs w:val="30"/>
              </w:rPr>
              <w:t>扣款50-500元/项</w:t>
            </w:r>
          </w:p>
        </w:tc>
        <w:tc>
          <w:tcPr>
            <w:tcW w:w="2011" w:type="dxa"/>
            <w:vAlign w:val="center"/>
          </w:tcPr>
          <w:p w14:paraId="15535120">
            <w:pPr>
              <w:spacing w:line="520" w:lineRule="exact"/>
              <w:ind w:firstLine="150" w:firstLineChars="50"/>
              <w:rPr>
                <w:rFonts w:ascii="仿宋" w:hAnsi="仿宋" w:eastAsia="仿宋" w:cs="宋体"/>
                <w:color w:val="auto"/>
                <w:sz w:val="30"/>
                <w:szCs w:val="30"/>
              </w:rPr>
            </w:pPr>
          </w:p>
        </w:tc>
      </w:tr>
      <w:tr w14:paraId="4D81C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5" w:type="dxa"/>
            <w:vAlign w:val="center"/>
          </w:tcPr>
          <w:p w14:paraId="242790D2">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4</w:t>
            </w:r>
          </w:p>
        </w:tc>
        <w:tc>
          <w:tcPr>
            <w:tcW w:w="4756" w:type="dxa"/>
            <w:vAlign w:val="center"/>
          </w:tcPr>
          <w:p w14:paraId="568A7A49">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乙方人员未持证上岗，施工不规范的，未造成人员伤亡及较大财产损失的</w:t>
            </w:r>
          </w:p>
        </w:tc>
        <w:tc>
          <w:tcPr>
            <w:tcW w:w="1620" w:type="dxa"/>
            <w:vAlign w:val="center"/>
          </w:tcPr>
          <w:p w14:paraId="72EB1B99">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扣款100元／次</w:t>
            </w:r>
          </w:p>
        </w:tc>
        <w:tc>
          <w:tcPr>
            <w:tcW w:w="2011" w:type="dxa"/>
            <w:vAlign w:val="center"/>
          </w:tcPr>
          <w:p w14:paraId="1A51A243">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造成人员伤亡，较大财产损失的按合同约定处理</w:t>
            </w:r>
          </w:p>
        </w:tc>
      </w:tr>
      <w:tr w14:paraId="72B2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25" w:type="dxa"/>
            <w:vAlign w:val="center"/>
          </w:tcPr>
          <w:p w14:paraId="749D1DEE">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5</w:t>
            </w:r>
          </w:p>
        </w:tc>
        <w:tc>
          <w:tcPr>
            <w:tcW w:w="4756" w:type="dxa"/>
            <w:vAlign w:val="center"/>
          </w:tcPr>
          <w:p w14:paraId="1AF69971">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乙方未按时提交月度维保计划、季度评估报告及周期检测报告的</w:t>
            </w:r>
          </w:p>
        </w:tc>
        <w:tc>
          <w:tcPr>
            <w:tcW w:w="1620" w:type="dxa"/>
            <w:vAlign w:val="center"/>
          </w:tcPr>
          <w:p w14:paraId="5FB19328">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扣款200元/次</w:t>
            </w:r>
          </w:p>
        </w:tc>
        <w:tc>
          <w:tcPr>
            <w:tcW w:w="2011" w:type="dxa"/>
            <w:vAlign w:val="center"/>
          </w:tcPr>
          <w:p w14:paraId="451230D4">
            <w:pPr>
              <w:spacing w:line="520" w:lineRule="exact"/>
              <w:rPr>
                <w:rFonts w:ascii="仿宋" w:hAnsi="仿宋" w:eastAsia="仿宋" w:cs="宋体"/>
                <w:color w:val="auto"/>
                <w:sz w:val="30"/>
                <w:szCs w:val="30"/>
              </w:rPr>
            </w:pPr>
          </w:p>
        </w:tc>
      </w:tr>
      <w:tr w14:paraId="663E9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25" w:type="dxa"/>
            <w:vAlign w:val="center"/>
          </w:tcPr>
          <w:p w14:paraId="1DE3CF69">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6</w:t>
            </w:r>
          </w:p>
        </w:tc>
        <w:tc>
          <w:tcPr>
            <w:tcW w:w="4756" w:type="dxa"/>
            <w:vAlign w:val="center"/>
          </w:tcPr>
          <w:p w14:paraId="0BC1966D">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乙方维保人员行为规范达不到甲方BI标准的</w:t>
            </w:r>
          </w:p>
        </w:tc>
        <w:tc>
          <w:tcPr>
            <w:tcW w:w="1620" w:type="dxa"/>
            <w:vAlign w:val="center"/>
          </w:tcPr>
          <w:p w14:paraId="4055A13A">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扣款50元／次</w:t>
            </w:r>
          </w:p>
        </w:tc>
        <w:tc>
          <w:tcPr>
            <w:tcW w:w="2011" w:type="dxa"/>
            <w:vAlign w:val="center"/>
          </w:tcPr>
          <w:p w14:paraId="3A3AAA7B">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进场时甲方会进行BI交底及培训</w:t>
            </w:r>
          </w:p>
        </w:tc>
      </w:tr>
      <w:tr w14:paraId="47F85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5" w:type="dxa"/>
            <w:vAlign w:val="center"/>
          </w:tcPr>
          <w:p w14:paraId="1399BAFF">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7</w:t>
            </w:r>
          </w:p>
        </w:tc>
        <w:tc>
          <w:tcPr>
            <w:tcW w:w="4756" w:type="dxa"/>
            <w:vAlign w:val="center"/>
          </w:tcPr>
          <w:p w14:paraId="48184A54">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因乙方工作疏忽，致各种维保资料的不完整，填写不规范</w:t>
            </w:r>
          </w:p>
        </w:tc>
        <w:tc>
          <w:tcPr>
            <w:tcW w:w="1620" w:type="dxa"/>
            <w:vAlign w:val="center"/>
          </w:tcPr>
          <w:p w14:paraId="308F0A1E">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扣款50元／项</w:t>
            </w:r>
          </w:p>
        </w:tc>
        <w:tc>
          <w:tcPr>
            <w:tcW w:w="2011" w:type="dxa"/>
            <w:vAlign w:val="center"/>
          </w:tcPr>
          <w:p w14:paraId="496F4979">
            <w:pPr>
              <w:spacing w:line="520" w:lineRule="exact"/>
              <w:rPr>
                <w:rFonts w:ascii="仿宋" w:hAnsi="仿宋" w:eastAsia="仿宋" w:cs="宋体"/>
                <w:color w:val="auto"/>
                <w:sz w:val="30"/>
                <w:szCs w:val="30"/>
              </w:rPr>
            </w:pPr>
          </w:p>
        </w:tc>
      </w:tr>
      <w:tr w14:paraId="3180A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25" w:type="dxa"/>
            <w:vAlign w:val="center"/>
          </w:tcPr>
          <w:p w14:paraId="3D998CD1">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8</w:t>
            </w:r>
          </w:p>
        </w:tc>
        <w:tc>
          <w:tcPr>
            <w:tcW w:w="4756" w:type="dxa"/>
            <w:vAlign w:val="center"/>
          </w:tcPr>
          <w:p w14:paraId="73BD9DB2">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甲方公司品质检查、集团安全检查、集团标准检查，因乙方维保不到位，造成不合格项</w:t>
            </w:r>
          </w:p>
        </w:tc>
        <w:tc>
          <w:tcPr>
            <w:tcW w:w="1620" w:type="dxa"/>
            <w:vAlign w:val="center"/>
          </w:tcPr>
          <w:p w14:paraId="408FCC98">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扣款50-100元／项。</w:t>
            </w:r>
          </w:p>
        </w:tc>
        <w:tc>
          <w:tcPr>
            <w:tcW w:w="2011" w:type="dxa"/>
            <w:vAlign w:val="center"/>
          </w:tcPr>
          <w:p w14:paraId="58005A07">
            <w:pPr>
              <w:spacing w:line="520" w:lineRule="exact"/>
              <w:rPr>
                <w:rFonts w:ascii="仿宋" w:hAnsi="仿宋" w:eastAsia="仿宋" w:cs="宋体"/>
                <w:color w:val="auto"/>
                <w:sz w:val="30"/>
                <w:szCs w:val="30"/>
              </w:rPr>
            </w:pPr>
          </w:p>
        </w:tc>
      </w:tr>
      <w:tr w14:paraId="1FFB8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825" w:type="dxa"/>
            <w:vAlign w:val="center"/>
          </w:tcPr>
          <w:p w14:paraId="3E2F6BE5">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9</w:t>
            </w:r>
          </w:p>
        </w:tc>
        <w:tc>
          <w:tcPr>
            <w:tcW w:w="4756" w:type="dxa"/>
            <w:vAlign w:val="center"/>
          </w:tcPr>
          <w:p w14:paraId="312225AD">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在甲方评估或检查出问题时，通知乙方按国家、合同相关要求进行整改而乙方拒不执行时，或经整改仍不合格的。</w:t>
            </w:r>
          </w:p>
        </w:tc>
        <w:tc>
          <w:tcPr>
            <w:tcW w:w="1620" w:type="dxa"/>
            <w:vAlign w:val="center"/>
          </w:tcPr>
          <w:p w14:paraId="3AAA8E11">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扣款1000元—2000元</w:t>
            </w:r>
          </w:p>
        </w:tc>
        <w:tc>
          <w:tcPr>
            <w:tcW w:w="2011" w:type="dxa"/>
            <w:vAlign w:val="center"/>
          </w:tcPr>
          <w:p w14:paraId="0404C466">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并承担损失</w:t>
            </w:r>
          </w:p>
        </w:tc>
      </w:tr>
      <w:tr w14:paraId="31F45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825" w:type="dxa"/>
            <w:vAlign w:val="center"/>
          </w:tcPr>
          <w:p w14:paraId="0707B269">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10</w:t>
            </w:r>
          </w:p>
        </w:tc>
        <w:tc>
          <w:tcPr>
            <w:tcW w:w="4756" w:type="dxa"/>
            <w:vAlign w:val="center"/>
          </w:tcPr>
          <w:p w14:paraId="1802EFB0">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乙方维保中造成客户有效投诉</w:t>
            </w:r>
          </w:p>
        </w:tc>
        <w:tc>
          <w:tcPr>
            <w:tcW w:w="1620" w:type="dxa"/>
            <w:vAlign w:val="center"/>
          </w:tcPr>
          <w:p w14:paraId="608E14F0">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扣款100-500元／次</w:t>
            </w:r>
          </w:p>
        </w:tc>
        <w:tc>
          <w:tcPr>
            <w:tcW w:w="2011" w:type="dxa"/>
            <w:vAlign w:val="center"/>
          </w:tcPr>
          <w:p w14:paraId="5B6287AC">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并承担损失</w:t>
            </w:r>
          </w:p>
        </w:tc>
      </w:tr>
      <w:tr w14:paraId="12F9B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25" w:type="dxa"/>
            <w:vAlign w:val="center"/>
          </w:tcPr>
          <w:p w14:paraId="33C87986">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11</w:t>
            </w:r>
          </w:p>
        </w:tc>
        <w:tc>
          <w:tcPr>
            <w:tcW w:w="4756" w:type="dxa"/>
            <w:vAlign w:val="center"/>
          </w:tcPr>
          <w:p w14:paraId="46034172">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安监、创优等国家相关部门在检查时，因乙方的原因检查不合格或是被处罚的。</w:t>
            </w:r>
          </w:p>
        </w:tc>
        <w:tc>
          <w:tcPr>
            <w:tcW w:w="1620" w:type="dxa"/>
            <w:vAlign w:val="center"/>
          </w:tcPr>
          <w:p w14:paraId="46431E9A">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扣款200至2000元</w:t>
            </w:r>
          </w:p>
        </w:tc>
        <w:tc>
          <w:tcPr>
            <w:tcW w:w="2011" w:type="dxa"/>
            <w:vAlign w:val="center"/>
          </w:tcPr>
          <w:p w14:paraId="3976C232">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并承担一切损失</w:t>
            </w:r>
          </w:p>
        </w:tc>
      </w:tr>
      <w:tr w14:paraId="1019D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25" w:type="dxa"/>
            <w:vAlign w:val="center"/>
          </w:tcPr>
          <w:p w14:paraId="3E10620D">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12</w:t>
            </w:r>
          </w:p>
        </w:tc>
        <w:tc>
          <w:tcPr>
            <w:tcW w:w="4756" w:type="dxa"/>
            <w:vAlign w:val="center"/>
          </w:tcPr>
          <w:p w14:paraId="4C0E3C5D">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在</w:t>
            </w:r>
            <w:r>
              <w:rPr>
                <w:rFonts w:hint="eastAsia" w:ascii="仿宋" w:hAnsi="仿宋" w:eastAsia="仿宋" w:cs="宋体"/>
                <w:color w:val="auto"/>
                <w:sz w:val="30"/>
                <w:szCs w:val="30"/>
                <w:u w:val="single"/>
              </w:rPr>
              <w:t xml:space="preserve"> 200 </w:t>
            </w:r>
            <w:r>
              <w:rPr>
                <w:rFonts w:hint="eastAsia" w:ascii="仿宋" w:hAnsi="仿宋" w:eastAsia="仿宋" w:cs="宋体"/>
                <w:color w:val="auto"/>
                <w:sz w:val="30"/>
                <w:szCs w:val="30"/>
              </w:rPr>
              <w:t>元以下免费更换范围内的故障设备（见</w:t>
            </w:r>
            <w:r>
              <w:rPr>
                <w:rFonts w:hint="eastAsia" w:ascii="仿宋" w:hAnsi="仿宋" w:eastAsia="仿宋" w:cs="宋体"/>
                <w:bCs/>
                <w:color w:val="auto"/>
                <w:sz w:val="30"/>
                <w:szCs w:val="30"/>
                <w:u w:val="single"/>
              </w:rPr>
              <w:t xml:space="preserve"> 200 </w:t>
            </w:r>
            <w:r>
              <w:rPr>
                <w:rFonts w:hint="eastAsia" w:ascii="仿宋" w:hAnsi="仿宋" w:eastAsia="仿宋" w:cs="宋体"/>
                <w:bCs/>
                <w:color w:val="auto"/>
                <w:sz w:val="30"/>
                <w:szCs w:val="30"/>
              </w:rPr>
              <w:t>元以下免费配件清单</w:t>
            </w:r>
            <w:r>
              <w:rPr>
                <w:rFonts w:hint="eastAsia" w:ascii="仿宋" w:hAnsi="仿宋" w:eastAsia="仿宋" w:cs="宋体"/>
                <w:color w:val="auto"/>
                <w:sz w:val="30"/>
                <w:szCs w:val="30"/>
              </w:rPr>
              <w:t>），未按合同要求时间内及时跟换处理的</w:t>
            </w:r>
          </w:p>
        </w:tc>
        <w:tc>
          <w:tcPr>
            <w:tcW w:w="1620" w:type="dxa"/>
            <w:vAlign w:val="center"/>
          </w:tcPr>
          <w:p w14:paraId="0FA41BC0">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扣款100~200元/次</w:t>
            </w:r>
          </w:p>
        </w:tc>
        <w:tc>
          <w:tcPr>
            <w:tcW w:w="2011" w:type="dxa"/>
            <w:vAlign w:val="center"/>
          </w:tcPr>
          <w:p w14:paraId="11931516">
            <w:pPr>
              <w:spacing w:line="520" w:lineRule="exact"/>
              <w:ind w:firstLine="150" w:firstLineChars="50"/>
              <w:rPr>
                <w:rFonts w:ascii="仿宋" w:hAnsi="仿宋" w:eastAsia="仿宋" w:cs="宋体"/>
                <w:color w:val="auto"/>
                <w:sz w:val="30"/>
                <w:szCs w:val="30"/>
              </w:rPr>
            </w:pPr>
            <w:r>
              <w:rPr>
                <w:rFonts w:hint="eastAsia" w:ascii="仿宋" w:hAnsi="仿宋" w:eastAsia="仿宋" w:cs="宋体"/>
                <w:color w:val="auto"/>
                <w:sz w:val="30"/>
                <w:szCs w:val="30"/>
              </w:rPr>
              <w:t>并承担相应责任损失</w:t>
            </w:r>
          </w:p>
        </w:tc>
      </w:tr>
      <w:tr w14:paraId="154D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25" w:type="dxa"/>
            <w:vAlign w:val="center"/>
          </w:tcPr>
          <w:p w14:paraId="680A1AEC">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13</w:t>
            </w:r>
          </w:p>
        </w:tc>
        <w:tc>
          <w:tcPr>
            <w:tcW w:w="4756" w:type="dxa"/>
            <w:vAlign w:val="center"/>
          </w:tcPr>
          <w:p w14:paraId="5E723033">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在有重大设备故障时，乙方接到通知不配合处理的</w:t>
            </w:r>
          </w:p>
        </w:tc>
        <w:tc>
          <w:tcPr>
            <w:tcW w:w="1620" w:type="dxa"/>
            <w:vAlign w:val="center"/>
          </w:tcPr>
          <w:p w14:paraId="6E453369">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扣款500~1000元/次</w:t>
            </w:r>
          </w:p>
        </w:tc>
        <w:tc>
          <w:tcPr>
            <w:tcW w:w="2011" w:type="dxa"/>
            <w:vAlign w:val="center"/>
          </w:tcPr>
          <w:p w14:paraId="09D6590F">
            <w:pPr>
              <w:spacing w:line="520" w:lineRule="exact"/>
              <w:ind w:firstLine="150" w:firstLineChars="50"/>
              <w:rPr>
                <w:rFonts w:ascii="仿宋" w:hAnsi="仿宋" w:eastAsia="仿宋" w:cs="宋体"/>
                <w:color w:val="auto"/>
                <w:sz w:val="30"/>
                <w:szCs w:val="30"/>
              </w:rPr>
            </w:pPr>
            <w:r>
              <w:rPr>
                <w:rFonts w:hint="eastAsia" w:ascii="仿宋" w:hAnsi="仿宋" w:eastAsia="仿宋" w:cs="宋体"/>
                <w:color w:val="auto"/>
                <w:sz w:val="30"/>
                <w:szCs w:val="30"/>
              </w:rPr>
              <w:t>并承担损失</w:t>
            </w:r>
          </w:p>
        </w:tc>
      </w:tr>
      <w:tr w14:paraId="2E6A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25" w:type="dxa"/>
            <w:vAlign w:val="center"/>
          </w:tcPr>
          <w:p w14:paraId="4589B43F">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14</w:t>
            </w:r>
          </w:p>
        </w:tc>
        <w:tc>
          <w:tcPr>
            <w:tcW w:w="4756" w:type="dxa"/>
            <w:vAlign w:val="center"/>
          </w:tcPr>
          <w:p w14:paraId="107A2B67">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乙方维保中造成的任何（设备、人身、财产）损失由乙方负全责，并接受相关处罚。</w:t>
            </w:r>
          </w:p>
        </w:tc>
        <w:tc>
          <w:tcPr>
            <w:tcW w:w="1620" w:type="dxa"/>
            <w:vAlign w:val="center"/>
          </w:tcPr>
          <w:p w14:paraId="52DC7A4A">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按合同约定处理</w:t>
            </w:r>
          </w:p>
        </w:tc>
        <w:tc>
          <w:tcPr>
            <w:tcW w:w="2011" w:type="dxa"/>
            <w:vAlign w:val="center"/>
          </w:tcPr>
          <w:p w14:paraId="6985B9AE">
            <w:pPr>
              <w:spacing w:line="520" w:lineRule="exact"/>
              <w:ind w:firstLine="150" w:firstLineChars="50"/>
              <w:rPr>
                <w:rFonts w:ascii="仿宋" w:hAnsi="仿宋" w:eastAsia="仿宋" w:cs="宋体"/>
                <w:color w:val="auto"/>
                <w:sz w:val="30"/>
                <w:szCs w:val="30"/>
              </w:rPr>
            </w:pPr>
          </w:p>
        </w:tc>
      </w:tr>
      <w:tr w14:paraId="1457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25" w:type="dxa"/>
            <w:vAlign w:val="center"/>
          </w:tcPr>
          <w:p w14:paraId="5B7E9D8B">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15</w:t>
            </w:r>
          </w:p>
        </w:tc>
        <w:tc>
          <w:tcPr>
            <w:tcW w:w="4756" w:type="dxa"/>
            <w:vAlign w:val="center"/>
          </w:tcPr>
          <w:p w14:paraId="28ED8EEF">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乙方进场后不能按照要求及项目实施需要配置足额的维保人员</w:t>
            </w:r>
          </w:p>
        </w:tc>
        <w:tc>
          <w:tcPr>
            <w:tcW w:w="1620" w:type="dxa"/>
            <w:vAlign w:val="center"/>
          </w:tcPr>
          <w:p w14:paraId="7DDFE90E">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扣款300元/每人</w:t>
            </w:r>
          </w:p>
        </w:tc>
        <w:tc>
          <w:tcPr>
            <w:tcW w:w="2011" w:type="dxa"/>
            <w:vAlign w:val="center"/>
          </w:tcPr>
          <w:p w14:paraId="2AA75509">
            <w:pPr>
              <w:spacing w:line="520" w:lineRule="exact"/>
              <w:ind w:firstLine="150" w:firstLineChars="50"/>
              <w:rPr>
                <w:rFonts w:ascii="仿宋" w:hAnsi="仿宋" w:eastAsia="仿宋" w:cs="宋体"/>
                <w:color w:val="auto"/>
                <w:sz w:val="30"/>
                <w:szCs w:val="30"/>
              </w:rPr>
            </w:pPr>
          </w:p>
        </w:tc>
      </w:tr>
      <w:tr w14:paraId="484E4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25" w:type="dxa"/>
            <w:vAlign w:val="center"/>
          </w:tcPr>
          <w:p w14:paraId="78E4BA2D">
            <w:pPr>
              <w:spacing w:line="520" w:lineRule="exact"/>
              <w:jc w:val="center"/>
              <w:rPr>
                <w:rFonts w:ascii="仿宋" w:hAnsi="仿宋" w:eastAsia="仿宋" w:cs="宋体"/>
                <w:color w:val="auto"/>
                <w:sz w:val="30"/>
                <w:szCs w:val="30"/>
              </w:rPr>
            </w:pPr>
            <w:r>
              <w:rPr>
                <w:rFonts w:hint="eastAsia" w:ascii="仿宋" w:hAnsi="仿宋" w:eastAsia="仿宋" w:cs="宋体"/>
                <w:color w:val="auto"/>
                <w:sz w:val="30"/>
                <w:szCs w:val="30"/>
              </w:rPr>
              <w:t>16</w:t>
            </w:r>
          </w:p>
        </w:tc>
        <w:tc>
          <w:tcPr>
            <w:tcW w:w="4756" w:type="dxa"/>
            <w:vAlign w:val="center"/>
          </w:tcPr>
          <w:p w14:paraId="481BE62E">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消防等政府有关部门检查发现的不合格项导致罚款或整改的</w:t>
            </w:r>
          </w:p>
        </w:tc>
        <w:tc>
          <w:tcPr>
            <w:tcW w:w="1620" w:type="dxa"/>
            <w:vAlign w:val="center"/>
          </w:tcPr>
          <w:p w14:paraId="526ED79B">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t>承担对应的罚款金额及合同违约责任</w:t>
            </w:r>
          </w:p>
        </w:tc>
        <w:tc>
          <w:tcPr>
            <w:tcW w:w="2011" w:type="dxa"/>
            <w:vAlign w:val="center"/>
          </w:tcPr>
          <w:p w14:paraId="13FA32AE">
            <w:pPr>
              <w:spacing w:line="520" w:lineRule="exact"/>
              <w:ind w:firstLine="150" w:firstLineChars="50"/>
              <w:rPr>
                <w:rFonts w:ascii="仿宋" w:hAnsi="仿宋" w:eastAsia="仿宋" w:cs="宋体"/>
                <w:color w:val="auto"/>
                <w:sz w:val="30"/>
                <w:szCs w:val="30"/>
              </w:rPr>
            </w:pPr>
          </w:p>
        </w:tc>
      </w:tr>
    </w:tbl>
    <w:p w14:paraId="0D6A93C5">
      <w:pPr>
        <w:spacing w:line="520" w:lineRule="exact"/>
        <w:rPr>
          <w:rFonts w:ascii="仿宋" w:hAnsi="仿宋" w:eastAsia="仿宋"/>
          <w:color w:val="auto"/>
          <w:sz w:val="30"/>
          <w:szCs w:val="30"/>
        </w:rPr>
      </w:pPr>
      <w:r>
        <w:rPr>
          <w:rFonts w:hint="eastAsia" w:ascii="仿宋" w:hAnsi="仿宋" w:eastAsia="仿宋"/>
          <w:color w:val="auto"/>
          <w:sz w:val="30"/>
          <w:szCs w:val="30"/>
        </w:rPr>
        <w:br w:type="page"/>
      </w:r>
    </w:p>
    <w:p w14:paraId="70620D12">
      <w:pPr>
        <w:snapToGrid w:val="0"/>
        <w:spacing w:before="240" w:after="240" w:line="520" w:lineRule="exact"/>
        <w:rPr>
          <w:rFonts w:ascii="仿宋" w:hAnsi="仿宋" w:eastAsia="仿宋"/>
          <w:b/>
          <w:bCs/>
          <w:color w:val="auto"/>
          <w:sz w:val="30"/>
          <w:szCs w:val="30"/>
        </w:rPr>
      </w:pPr>
      <w:r>
        <w:rPr>
          <w:rFonts w:hint="eastAsia" w:ascii="仿宋" w:hAnsi="仿宋" w:eastAsia="仿宋"/>
          <w:b/>
          <w:bCs/>
          <w:color w:val="auto"/>
          <w:sz w:val="30"/>
          <w:szCs w:val="30"/>
        </w:rPr>
        <w:t>附件四：单品单件</w:t>
      </w:r>
      <w:r>
        <w:rPr>
          <w:rFonts w:ascii="仿宋" w:hAnsi="仿宋" w:eastAsia="仿宋"/>
          <w:b/>
          <w:bCs/>
          <w:color w:val="auto"/>
          <w:sz w:val="30"/>
          <w:szCs w:val="30"/>
          <w:u w:val="single"/>
        </w:rPr>
        <w:t>200</w:t>
      </w:r>
      <w:r>
        <w:rPr>
          <w:rFonts w:hint="eastAsia" w:ascii="仿宋" w:hAnsi="仿宋" w:eastAsia="仿宋"/>
          <w:b/>
          <w:bCs/>
          <w:color w:val="auto"/>
          <w:sz w:val="30"/>
          <w:szCs w:val="30"/>
        </w:rPr>
        <w:t>元以下免费配件清单（费用含在维保费中）</w:t>
      </w:r>
    </w:p>
    <w:tbl>
      <w:tblPr>
        <w:tblStyle w:val="10"/>
        <w:tblW w:w="0" w:type="auto"/>
        <w:jc w:val="center"/>
        <w:tblLayout w:type="fixed"/>
        <w:tblCellMar>
          <w:top w:w="0" w:type="dxa"/>
          <w:left w:w="10" w:type="dxa"/>
          <w:bottom w:w="0" w:type="dxa"/>
          <w:right w:w="10" w:type="dxa"/>
        </w:tblCellMar>
      </w:tblPr>
      <w:tblGrid>
        <w:gridCol w:w="799"/>
        <w:gridCol w:w="2606"/>
        <w:gridCol w:w="1634"/>
        <w:gridCol w:w="677"/>
        <w:gridCol w:w="1217"/>
        <w:gridCol w:w="2340"/>
      </w:tblGrid>
      <w:tr w14:paraId="46E8EB48">
        <w:tblPrEx>
          <w:tblCellMar>
            <w:top w:w="0" w:type="dxa"/>
            <w:left w:w="10" w:type="dxa"/>
            <w:bottom w:w="0" w:type="dxa"/>
            <w:right w:w="10" w:type="dxa"/>
          </w:tblCellMar>
        </w:tblPrEx>
        <w:trPr>
          <w:trHeight w:val="418" w:hRule="exact"/>
          <w:jc w:val="center"/>
        </w:trPr>
        <w:tc>
          <w:tcPr>
            <w:tcBorders>
              <w:top w:val="single" w:color="auto" w:sz="4" w:space="0"/>
              <w:left w:val="single" w:color="auto" w:sz="4" w:space="0"/>
            </w:tcBorders>
            <w:shd w:val="clear" w:color="auto" w:fill="FFFFFF"/>
            <w:vAlign w:val="bottom"/>
          </w:tcPr>
          <w:p w14:paraId="7EE1B45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序号</w:t>
            </w:r>
          </w:p>
        </w:tc>
        <w:tc>
          <w:tcPr>
            <w:tcBorders>
              <w:top w:val="single" w:color="auto" w:sz="4" w:space="0"/>
              <w:left w:val="single" w:color="auto" w:sz="4" w:space="0"/>
            </w:tcBorders>
            <w:shd w:val="clear" w:color="auto" w:fill="FFFFFF"/>
            <w:vAlign w:val="bottom"/>
          </w:tcPr>
          <w:p w14:paraId="46AF865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配件名称</w:t>
            </w:r>
          </w:p>
        </w:tc>
        <w:tc>
          <w:tcPr>
            <w:tcW w:w="1634" w:type="dxa"/>
            <w:tcBorders>
              <w:top w:val="single" w:color="auto" w:sz="4" w:space="0"/>
              <w:left w:val="single" w:color="auto" w:sz="4" w:space="0"/>
            </w:tcBorders>
            <w:shd w:val="clear" w:color="auto" w:fill="FFFFFF"/>
            <w:vAlign w:val="bottom"/>
          </w:tcPr>
          <w:p w14:paraId="59A96A6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品牌型号</w:t>
            </w:r>
          </w:p>
        </w:tc>
        <w:tc>
          <w:tcPr>
            <w:tcW w:w="677" w:type="dxa"/>
            <w:tcBorders>
              <w:top w:val="single" w:color="auto" w:sz="4" w:space="0"/>
              <w:left w:val="single" w:color="auto" w:sz="4" w:space="0"/>
            </w:tcBorders>
            <w:shd w:val="clear" w:color="auto" w:fill="FFFFFF"/>
            <w:vAlign w:val="bottom"/>
          </w:tcPr>
          <w:p w14:paraId="03181AD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单位</w:t>
            </w:r>
          </w:p>
        </w:tc>
        <w:tc>
          <w:tcPr>
            <w:tcBorders>
              <w:top w:val="single" w:color="auto" w:sz="4" w:space="0"/>
              <w:left w:val="single" w:color="auto" w:sz="4" w:space="0"/>
            </w:tcBorders>
            <w:shd w:val="clear" w:color="auto" w:fill="FFFFFF"/>
            <w:vAlign w:val="bottom"/>
          </w:tcPr>
          <w:p w14:paraId="1CD2FE2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单价（元）</w:t>
            </w:r>
          </w:p>
        </w:tc>
        <w:tc>
          <w:tcPr>
            <w:tcBorders>
              <w:top w:val="single" w:color="auto" w:sz="4" w:space="0"/>
              <w:left w:val="single" w:color="auto" w:sz="4" w:space="0"/>
              <w:right w:val="single" w:color="auto" w:sz="4" w:space="0"/>
            </w:tcBorders>
            <w:shd w:val="clear" w:color="auto" w:fill="FFFFFF"/>
            <w:vAlign w:val="bottom"/>
          </w:tcPr>
          <w:p w14:paraId="3AA0947B">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备注</w:t>
            </w:r>
          </w:p>
        </w:tc>
      </w:tr>
      <w:tr w14:paraId="45C7BB73">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3F658213">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w:t>
            </w:r>
          </w:p>
        </w:tc>
        <w:tc>
          <w:tcPr>
            <w:tcBorders>
              <w:top w:val="single" w:color="auto" w:sz="4" w:space="0"/>
              <w:left w:val="single" w:color="auto" w:sz="4" w:space="0"/>
            </w:tcBorders>
            <w:shd w:val="clear" w:color="auto" w:fill="FFFFFF"/>
            <w:vAlign w:val="top"/>
          </w:tcPr>
          <w:p w14:paraId="00F4ECD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喷淋、消火栓管道配件</w:t>
            </w:r>
          </w:p>
        </w:tc>
        <w:tc>
          <w:tcPr>
            <w:tcW w:w="1634" w:type="dxa"/>
            <w:tcBorders>
              <w:top w:val="single" w:color="auto" w:sz="4" w:space="0"/>
              <w:left w:val="single" w:color="auto" w:sz="4" w:space="0"/>
            </w:tcBorders>
            <w:shd w:val="clear" w:color="auto" w:fill="FFFFFF"/>
            <w:vAlign w:val="top"/>
          </w:tcPr>
          <w:p w14:paraId="035ACFC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c>
          <w:tcPr>
            <w:tcW w:w="677" w:type="dxa"/>
            <w:tcBorders>
              <w:top w:val="single" w:color="auto" w:sz="4" w:space="0"/>
              <w:left w:val="single" w:color="auto" w:sz="4" w:space="0"/>
            </w:tcBorders>
            <w:shd w:val="clear" w:color="auto" w:fill="FFFFFF"/>
            <w:vAlign w:val="top"/>
          </w:tcPr>
          <w:p w14:paraId="76C8C2F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5ED47529">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2.5-180</w:t>
            </w:r>
          </w:p>
        </w:tc>
        <w:tc>
          <w:tcPr>
            <w:tcBorders>
              <w:top w:val="single" w:color="auto" w:sz="4" w:space="0"/>
              <w:left w:val="single" w:color="auto" w:sz="4" w:space="0"/>
              <w:right w:val="single" w:color="auto" w:sz="4" w:space="0"/>
            </w:tcBorders>
            <w:shd w:val="clear" w:color="auto" w:fill="FFFFFF"/>
            <w:vAlign w:val="top"/>
          </w:tcPr>
          <w:p w14:paraId="0C9F7E9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不含大于</w:t>
            </w:r>
            <w:r>
              <w:rPr>
                <w:rFonts w:hint="eastAsia" w:ascii="宋体" w:hAnsi="宋体" w:eastAsia="宋体" w:cs="宋体"/>
                <w:color w:val="000000"/>
                <w:spacing w:val="0"/>
                <w:w w:val="100"/>
                <w:position w:val="0"/>
                <w:lang w:val="en-US" w:eastAsia="en-US"/>
              </w:rPr>
              <w:t>DN50</w:t>
            </w:r>
            <w:r>
              <w:rPr>
                <w:rFonts w:hint="eastAsia" w:ascii="宋体" w:hAnsi="宋体" w:eastAsia="宋体" w:cs="宋体"/>
                <w:color w:val="000000"/>
                <w:spacing w:val="0"/>
                <w:w w:val="100"/>
                <w:position w:val="0"/>
              </w:rPr>
              <w:t>阀门</w:t>
            </w:r>
          </w:p>
        </w:tc>
      </w:tr>
      <w:tr w14:paraId="22FDED5E">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31BBED1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w:t>
            </w:r>
          </w:p>
        </w:tc>
        <w:tc>
          <w:tcPr>
            <w:tcBorders>
              <w:top w:val="single" w:color="auto" w:sz="4" w:space="0"/>
              <w:left w:val="single" w:color="auto" w:sz="4" w:space="0"/>
            </w:tcBorders>
            <w:shd w:val="clear" w:color="auto" w:fill="FFFFFF"/>
            <w:vAlign w:val="top"/>
          </w:tcPr>
          <w:p w14:paraId="3BE9326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光电感烟探测器</w:t>
            </w:r>
          </w:p>
        </w:tc>
        <w:tc>
          <w:tcPr>
            <w:tcW w:w="1634" w:type="dxa"/>
            <w:tcBorders>
              <w:top w:val="single" w:color="auto" w:sz="4" w:space="0"/>
              <w:left w:val="single" w:color="auto" w:sz="4" w:space="0"/>
            </w:tcBorders>
            <w:shd w:val="clear" w:color="auto" w:fill="FFFFFF"/>
            <w:vAlign w:val="top"/>
          </w:tcPr>
          <w:p w14:paraId="7784D89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top"/>
          </w:tcPr>
          <w:p w14:paraId="148B028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15129F6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139</w:t>
            </w:r>
          </w:p>
        </w:tc>
        <w:tc>
          <w:tcPr>
            <w:tcBorders>
              <w:top w:val="single" w:color="auto" w:sz="4" w:space="0"/>
              <w:left w:val="single" w:color="auto" w:sz="4" w:space="0"/>
              <w:right w:val="single" w:color="auto" w:sz="4" w:space="0"/>
            </w:tcBorders>
            <w:shd w:val="clear" w:color="auto" w:fill="FFFFFF"/>
            <w:vAlign w:val="top"/>
          </w:tcPr>
          <w:p w14:paraId="789FF3C9">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34E4B567">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36D4CA1B">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3</w:t>
            </w:r>
          </w:p>
        </w:tc>
        <w:tc>
          <w:tcPr>
            <w:tcBorders>
              <w:top w:val="single" w:color="auto" w:sz="4" w:space="0"/>
              <w:left w:val="single" w:color="auto" w:sz="4" w:space="0"/>
            </w:tcBorders>
            <w:shd w:val="clear" w:color="auto" w:fill="FFFFFF"/>
            <w:vAlign w:val="top"/>
          </w:tcPr>
          <w:p w14:paraId="4B599F5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感温探测器</w:t>
            </w:r>
          </w:p>
        </w:tc>
        <w:tc>
          <w:tcPr>
            <w:tcW w:w="1634" w:type="dxa"/>
            <w:tcBorders>
              <w:top w:val="single" w:color="auto" w:sz="4" w:space="0"/>
              <w:left w:val="single" w:color="auto" w:sz="4" w:space="0"/>
            </w:tcBorders>
            <w:shd w:val="clear" w:color="auto" w:fill="FFFFFF"/>
            <w:vAlign w:val="top"/>
          </w:tcPr>
          <w:p w14:paraId="3D3F22C3">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top"/>
          </w:tcPr>
          <w:p w14:paraId="3DFE229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1FB401B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134</w:t>
            </w:r>
          </w:p>
        </w:tc>
        <w:tc>
          <w:tcPr>
            <w:tcBorders>
              <w:top w:val="single" w:color="auto" w:sz="4" w:space="0"/>
              <w:left w:val="single" w:color="auto" w:sz="4" w:space="0"/>
              <w:right w:val="single" w:color="auto" w:sz="4" w:space="0"/>
            </w:tcBorders>
            <w:shd w:val="clear" w:color="auto" w:fill="FFFFFF"/>
            <w:vAlign w:val="top"/>
          </w:tcPr>
          <w:p w14:paraId="6C127EB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1900E78B">
        <w:tblPrEx>
          <w:tblCellMar>
            <w:top w:w="0" w:type="dxa"/>
            <w:left w:w="10" w:type="dxa"/>
            <w:bottom w:w="0" w:type="dxa"/>
            <w:right w:w="10" w:type="dxa"/>
          </w:tblCellMar>
        </w:tblPrEx>
        <w:trPr>
          <w:trHeight w:val="332" w:hRule="exact"/>
          <w:jc w:val="center"/>
        </w:trPr>
        <w:tc>
          <w:tcPr>
            <w:tcBorders>
              <w:top w:val="single" w:color="auto" w:sz="4" w:space="0"/>
              <w:left w:val="single" w:color="auto" w:sz="4" w:space="0"/>
            </w:tcBorders>
            <w:shd w:val="clear" w:color="auto" w:fill="FFFFFF"/>
            <w:vAlign w:val="bottom"/>
          </w:tcPr>
          <w:p w14:paraId="51593BA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4</w:t>
            </w:r>
          </w:p>
        </w:tc>
        <w:tc>
          <w:tcPr>
            <w:tcBorders>
              <w:top w:val="single" w:color="auto" w:sz="4" w:space="0"/>
              <w:left w:val="single" w:color="auto" w:sz="4" w:space="0"/>
            </w:tcBorders>
            <w:shd w:val="clear" w:color="auto" w:fill="FFFFFF"/>
            <w:vAlign w:val="bottom"/>
          </w:tcPr>
          <w:p w14:paraId="7DA7F89B">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输入模块</w:t>
            </w:r>
          </w:p>
        </w:tc>
        <w:tc>
          <w:tcPr>
            <w:tcW w:w="1634" w:type="dxa"/>
            <w:tcBorders>
              <w:top w:val="single" w:color="auto" w:sz="4" w:space="0"/>
              <w:left w:val="single" w:color="auto" w:sz="4" w:space="0"/>
            </w:tcBorders>
            <w:shd w:val="clear" w:color="auto" w:fill="FFFFFF"/>
            <w:vAlign w:val="bottom"/>
          </w:tcPr>
          <w:p w14:paraId="5DF9F4AE">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21057CFB">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68916212">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134</w:t>
            </w:r>
          </w:p>
        </w:tc>
        <w:tc>
          <w:tcPr>
            <w:tcBorders>
              <w:top w:val="single" w:color="auto" w:sz="4" w:space="0"/>
              <w:left w:val="single" w:color="auto" w:sz="4" w:space="0"/>
              <w:right w:val="single" w:color="auto" w:sz="4" w:space="0"/>
            </w:tcBorders>
            <w:shd w:val="clear" w:color="auto" w:fill="FFFFFF"/>
            <w:vAlign w:val="top"/>
          </w:tcPr>
          <w:p w14:paraId="4F3D5A2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05E80F56">
        <w:tblPrEx>
          <w:tblCellMar>
            <w:top w:w="0" w:type="dxa"/>
            <w:left w:w="10" w:type="dxa"/>
            <w:bottom w:w="0" w:type="dxa"/>
            <w:right w:w="10" w:type="dxa"/>
          </w:tblCellMar>
        </w:tblPrEx>
        <w:trPr>
          <w:trHeight w:val="282" w:hRule="exact"/>
          <w:jc w:val="center"/>
        </w:trPr>
        <w:tc>
          <w:tcPr>
            <w:tcBorders>
              <w:top w:val="single" w:color="auto" w:sz="4" w:space="0"/>
              <w:left w:val="single" w:color="auto" w:sz="4" w:space="0"/>
            </w:tcBorders>
            <w:shd w:val="clear" w:color="auto" w:fill="FFFFFF"/>
            <w:vAlign w:val="top"/>
          </w:tcPr>
          <w:p w14:paraId="413F7C1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5</w:t>
            </w:r>
          </w:p>
        </w:tc>
        <w:tc>
          <w:tcPr>
            <w:tcBorders>
              <w:top w:val="single" w:color="auto" w:sz="4" w:space="0"/>
              <w:left w:val="single" w:color="auto" w:sz="4" w:space="0"/>
            </w:tcBorders>
            <w:shd w:val="clear" w:color="auto" w:fill="FFFFFF"/>
            <w:vAlign w:val="top"/>
          </w:tcPr>
          <w:p w14:paraId="152A95A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接口模块</w:t>
            </w:r>
          </w:p>
        </w:tc>
        <w:tc>
          <w:tcPr>
            <w:tcW w:w="1634" w:type="dxa"/>
            <w:tcBorders>
              <w:top w:val="single" w:color="auto" w:sz="4" w:space="0"/>
              <w:left w:val="single" w:color="auto" w:sz="4" w:space="0"/>
            </w:tcBorders>
            <w:shd w:val="clear" w:color="auto" w:fill="FFFFFF"/>
            <w:vAlign w:val="top"/>
          </w:tcPr>
          <w:p w14:paraId="10A38BF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top"/>
          </w:tcPr>
          <w:p w14:paraId="00F5519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5C16935E">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155</w:t>
            </w:r>
          </w:p>
        </w:tc>
        <w:tc>
          <w:tcPr>
            <w:tcBorders>
              <w:top w:val="single" w:color="auto" w:sz="4" w:space="0"/>
              <w:left w:val="single" w:color="auto" w:sz="4" w:space="0"/>
              <w:right w:val="single" w:color="auto" w:sz="4" w:space="0"/>
            </w:tcBorders>
            <w:shd w:val="clear" w:color="auto" w:fill="FFFFFF"/>
            <w:vAlign w:val="top"/>
          </w:tcPr>
          <w:p w14:paraId="4FCB051E">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742382E8">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276BD48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6</w:t>
            </w:r>
          </w:p>
        </w:tc>
        <w:tc>
          <w:tcPr>
            <w:tcBorders>
              <w:top w:val="single" w:color="auto" w:sz="4" w:space="0"/>
              <w:left w:val="single" w:color="auto" w:sz="4" w:space="0"/>
            </w:tcBorders>
            <w:shd w:val="clear" w:color="auto" w:fill="FFFFFF"/>
            <w:vAlign w:val="bottom"/>
          </w:tcPr>
          <w:p w14:paraId="7DA6796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输出模块</w:t>
            </w:r>
          </w:p>
        </w:tc>
        <w:tc>
          <w:tcPr>
            <w:tcW w:w="1634" w:type="dxa"/>
            <w:tcBorders>
              <w:top w:val="single" w:color="auto" w:sz="4" w:space="0"/>
              <w:left w:val="single" w:color="auto" w:sz="4" w:space="0"/>
            </w:tcBorders>
            <w:shd w:val="clear" w:color="auto" w:fill="FFFFFF"/>
            <w:vAlign w:val="bottom"/>
          </w:tcPr>
          <w:p w14:paraId="6495BE3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1750178C">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7DF3DA2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155</w:t>
            </w:r>
          </w:p>
        </w:tc>
        <w:tc>
          <w:tcPr>
            <w:tcBorders>
              <w:top w:val="single" w:color="auto" w:sz="4" w:space="0"/>
              <w:left w:val="single" w:color="auto" w:sz="4" w:space="0"/>
              <w:right w:val="single" w:color="auto" w:sz="4" w:space="0"/>
            </w:tcBorders>
            <w:shd w:val="clear" w:color="auto" w:fill="FFFFFF"/>
            <w:vAlign w:val="top"/>
          </w:tcPr>
          <w:p w14:paraId="3455003B">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6DA2FA4C">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0C3A6E8E">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7</w:t>
            </w:r>
          </w:p>
        </w:tc>
        <w:tc>
          <w:tcPr>
            <w:tcBorders>
              <w:top w:val="single" w:color="auto" w:sz="4" w:space="0"/>
              <w:left w:val="single" w:color="auto" w:sz="4" w:space="0"/>
            </w:tcBorders>
            <w:shd w:val="clear" w:color="auto" w:fill="FFFFFF"/>
            <w:vAlign w:val="bottom"/>
          </w:tcPr>
          <w:p w14:paraId="3509FB0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输入输出模块</w:t>
            </w:r>
          </w:p>
        </w:tc>
        <w:tc>
          <w:tcPr>
            <w:tcW w:w="1634" w:type="dxa"/>
            <w:tcBorders>
              <w:top w:val="single" w:color="auto" w:sz="4" w:space="0"/>
              <w:left w:val="single" w:color="auto" w:sz="4" w:space="0"/>
            </w:tcBorders>
            <w:shd w:val="clear" w:color="auto" w:fill="FFFFFF"/>
            <w:vAlign w:val="bottom"/>
          </w:tcPr>
          <w:p w14:paraId="03127ED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4173314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2D4E2AC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155</w:t>
            </w:r>
          </w:p>
        </w:tc>
        <w:tc>
          <w:tcPr>
            <w:tcBorders>
              <w:top w:val="single" w:color="auto" w:sz="4" w:space="0"/>
              <w:left w:val="single" w:color="auto" w:sz="4" w:space="0"/>
              <w:right w:val="single" w:color="auto" w:sz="4" w:space="0"/>
            </w:tcBorders>
            <w:shd w:val="clear" w:color="auto" w:fill="FFFFFF"/>
            <w:vAlign w:val="top"/>
          </w:tcPr>
          <w:p w14:paraId="0BFAF80C">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22C5095E">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6FB7A89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8</w:t>
            </w:r>
          </w:p>
        </w:tc>
        <w:tc>
          <w:tcPr>
            <w:tcBorders>
              <w:top w:val="single" w:color="auto" w:sz="4" w:space="0"/>
              <w:left w:val="single" w:color="auto" w:sz="4" w:space="0"/>
            </w:tcBorders>
            <w:shd w:val="clear" w:color="auto" w:fill="FFFFFF"/>
            <w:vAlign w:val="bottom"/>
          </w:tcPr>
          <w:p w14:paraId="0030143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中继模块</w:t>
            </w:r>
          </w:p>
        </w:tc>
        <w:tc>
          <w:tcPr>
            <w:tcW w:w="1634" w:type="dxa"/>
            <w:tcBorders>
              <w:top w:val="single" w:color="auto" w:sz="4" w:space="0"/>
              <w:left w:val="single" w:color="auto" w:sz="4" w:space="0"/>
            </w:tcBorders>
            <w:shd w:val="clear" w:color="auto" w:fill="FFFFFF"/>
            <w:vAlign w:val="bottom"/>
          </w:tcPr>
          <w:p w14:paraId="77D917C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503567CC">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3E40CE6C">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139</w:t>
            </w:r>
          </w:p>
        </w:tc>
        <w:tc>
          <w:tcPr>
            <w:tcBorders>
              <w:top w:val="single" w:color="auto" w:sz="4" w:space="0"/>
              <w:left w:val="single" w:color="auto" w:sz="4" w:space="0"/>
              <w:right w:val="single" w:color="auto" w:sz="4" w:space="0"/>
            </w:tcBorders>
            <w:shd w:val="clear" w:color="auto" w:fill="FFFFFF"/>
            <w:vAlign w:val="top"/>
          </w:tcPr>
          <w:p w14:paraId="71F6F03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041828C7">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bottom"/>
          </w:tcPr>
          <w:p w14:paraId="46CC432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9</w:t>
            </w:r>
          </w:p>
        </w:tc>
        <w:tc>
          <w:tcPr>
            <w:tcBorders>
              <w:top w:val="single" w:color="auto" w:sz="4" w:space="0"/>
              <w:left w:val="single" w:color="auto" w:sz="4" w:space="0"/>
            </w:tcBorders>
            <w:shd w:val="clear" w:color="auto" w:fill="FFFFFF"/>
            <w:vAlign w:val="bottom"/>
          </w:tcPr>
          <w:p w14:paraId="1B3833C2">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隔离模块</w:t>
            </w:r>
          </w:p>
        </w:tc>
        <w:tc>
          <w:tcPr>
            <w:tcW w:w="1634" w:type="dxa"/>
            <w:tcBorders>
              <w:top w:val="single" w:color="auto" w:sz="4" w:space="0"/>
              <w:left w:val="single" w:color="auto" w:sz="4" w:space="0"/>
            </w:tcBorders>
            <w:shd w:val="clear" w:color="auto" w:fill="FFFFFF"/>
            <w:vAlign w:val="bottom"/>
          </w:tcPr>
          <w:p w14:paraId="27AC217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0E57432C">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0A04D570">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124</w:t>
            </w:r>
          </w:p>
        </w:tc>
        <w:tc>
          <w:tcPr>
            <w:tcBorders>
              <w:top w:val="single" w:color="auto" w:sz="4" w:space="0"/>
              <w:left w:val="single" w:color="auto" w:sz="4" w:space="0"/>
              <w:right w:val="single" w:color="auto" w:sz="4" w:space="0"/>
            </w:tcBorders>
            <w:shd w:val="clear" w:color="auto" w:fill="FFFFFF"/>
            <w:vAlign w:val="top"/>
          </w:tcPr>
          <w:p w14:paraId="5F4162F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16A52D0E">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22A6F9F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10</w:t>
            </w:r>
          </w:p>
        </w:tc>
        <w:tc>
          <w:tcPr>
            <w:tcBorders>
              <w:top w:val="single" w:color="auto" w:sz="4" w:space="0"/>
              <w:left w:val="single" w:color="auto" w:sz="4" w:space="0"/>
            </w:tcBorders>
            <w:shd w:val="clear" w:color="auto" w:fill="FFFFFF"/>
            <w:vAlign w:val="top"/>
          </w:tcPr>
          <w:p w14:paraId="5602C2B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切换模块</w:t>
            </w:r>
          </w:p>
        </w:tc>
        <w:tc>
          <w:tcPr>
            <w:tcW w:w="1634" w:type="dxa"/>
            <w:tcBorders>
              <w:top w:val="single" w:color="auto" w:sz="4" w:space="0"/>
              <w:left w:val="single" w:color="auto" w:sz="4" w:space="0"/>
            </w:tcBorders>
            <w:shd w:val="clear" w:color="auto" w:fill="FFFFFF"/>
            <w:vAlign w:val="top"/>
          </w:tcPr>
          <w:p w14:paraId="1D444D0B">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top"/>
          </w:tcPr>
          <w:p w14:paraId="4C346D90">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13C1D10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180</w:t>
            </w:r>
          </w:p>
        </w:tc>
        <w:tc>
          <w:tcPr>
            <w:tcBorders>
              <w:top w:val="single" w:color="auto" w:sz="4" w:space="0"/>
              <w:left w:val="single" w:color="auto" w:sz="4" w:space="0"/>
              <w:right w:val="single" w:color="auto" w:sz="4" w:space="0"/>
            </w:tcBorders>
            <w:shd w:val="clear" w:color="auto" w:fill="FFFFFF"/>
            <w:vAlign w:val="top"/>
          </w:tcPr>
          <w:p w14:paraId="2230A87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64C23BC6">
        <w:tblPrEx>
          <w:tblCellMar>
            <w:top w:w="0" w:type="dxa"/>
            <w:left w:w="10" w:type="dxa"/>
            <w:bottom w:w="0" w:type="dxa"/>
            <w:right w:w="10" w:type="dxa"/>
          </w:tblCellMar>
        </w:tblPrEx>
        <w:trPr>
          <w:trHeight w:val="322" w:hRule="exact"/>
          <w:jc w:val="center"/>
        </w:trPr>
        <w:tc>
          <w:tcPr>
            <w:tcBorders>
              <w:top w:val="single" w:color="auto" w:sz="4" w:space="0"/>
              <w:left w:val="single" w:color="auto" w:sz="4" w:space="0"/>
            </w:tcBorders>
            <w:shd w:val="clear" w:color="auto" w:fill="FFFFFF"/>
            <w:vAlign w:val="top"/>
          </w:tcPr>
          <w:p w14:paraId="327DC380">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11</w:t>
            </w:r>
          </w:p>
        </w:tc>
        <w:tc>
          <w:tcPr>
            <w:tcBorders>
              <w:top w:val="single" w:color="auto" w:sz="4" w:space="0"/>
              <w:left w:val="single" w:color="auto" w:sz="4" w:space="0"/>
            </w:tcBorders>
            <w:shd w:val="clear" w:color="auto" w:fill="FFFFFF"/>
            <w:vAlign w:val="top"/>
          </w:tcPr>
          <w:p w14:paraId="1499877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手动报警按钮</w:t>
            </w:r>
          </w:p>
        </w:tc>
        <w:tc>
          <w:tcPr>
            <w:tcW w:w="1634" w:type="dxa"/>
            <w:tcBorders>
              <w:top w:val="single" w:color="auto" w:sz="4" w:space="0"/>
              <w:left w:val="single" w:color="auto" w:sz="4" w:space="0"/>
            </w:tcBorders>
            <w:shd w:val="clear" w:color="auto" w:fill="FFFFFF"/>
            <w:vAlign w:val="top"/>
          </w:tcPr>
          <w:p w14:paraId="6562101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top"/>
          </w:tcPr>
          <w:p w14:paraId="76D39BC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1D1EB2BB">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134</w:t>
            </w:r>
          </w:p>
        </w:tc>
        <w:tc>
          <w:tcPr>
            <w:tcBorders>
              <w:top w:val="single" w:color="auto" w:sz="4" w:space="0"/>
              <w:left w:val="single" w:color="auto" w:sz="4" w:space="0"/>
              <w:right w:val="single" w:color="auto" w:sz="4" w:space="0"/>
            </w:tcBorders>
            <w:shd w:val="clear" w:color="auto" w:fill="FFFFFF"/>
            <w:vAlign w:val="top"/>
          </w:tcPr>
          <w:p w14:paraId="7F547F0C">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77861282">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4274C5D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12</w:t>
            </w:r>
          </w:p>
        </w:tc>
        <w:tc>
          <w:tcPr>
            <w:tcBorders>
              <w:top w:val="single" w:color="auto" w:sz="4" w:space="0"/>
              <w:left w:val="single" w:color="auto" w:sz="4" w:space="0"/>
            </w:tcBorders>
            <w:shd w:val="clear" w:color="auto" w:fill="FFFFFF"/>
            <w:vAlign w:val="bottom"/>
          </w:tcPr>
          <w:p w14:paraId="05CFB34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消火栓按钮</w:t>
            </w:r>
          </w:p>
        </w:tc>
        <w:tc>
          <w:tcPr>
            <w:tcW w:w="1634" w:type="dxa"/>
            <w:tcBorders>
              <w:top w:val="single" w:color="auto" w:sz="4" w:space="0"/>
              <w:left w:val="single" w:color="auto" w:sz="4" w:space="0"/>
            </w:tcBorders>
            <w:shd w:val="clear" w:color="auto" w:fill="FFFFFF"/>
            <w:vAlign w:val="bottom"/>
          </w:tcPr>
          <w:p w14:paraId="778BA31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59CE7323">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37481330">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134</w:t>
            </w:r>
          </w:p>
        </w:tc>
        <w:tc>
          <w:tcPr>
            <w:tcBorders>
              <w:top w:val="single" w:color="auto" w:sz="4" w:space="0"/>
              <w:left w:val="single" w:color="auto" w:sz="4" w:space="0"/>
              <w:right w:val="single" w:color="auto" w:sz="4" w:space="0"/>
            </w:tcBorders>
            <w:shd w:val="clear" w:color="auto" w:fill="FFFFFF"/>
            <w:vAlign w:val="top"/>
          </w:tcPr>
          <w:p w14:paraId="5D4A605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66A2F2F4">
        <w:tblPrEx>
          <w:tblCellMar>
            <w:top w:w="0" w:type="dxa"/>
            <w:left w:w="10" w:type="dxa"/>
            <w:bottom w:w="0" w:type="dxa"/>
            <w:right w:w="10" w:type="dxa"/>
          </w:tblCellMar>
        </w:tblPrEx>
        <w:trPr>
          <w:trHeight w:val="289" w:hRule="exact"/>
          <w:jc w:val="center"/>
        </w:trPr>
        <w:tc>
          <w:tcPr>
            <w:tcBorders>
              <w:top w:val="single" w:color="auto" w:sz="4" w:space="0"/>
              <w:left w:val="single" w:color="auto" w:sz="4" w:space="0"/>
            </w:tcBorders>
            <w:shd w:val="clear" w:color="auto" w:fill="FFFFFF"/>
            <w:vAlign w:val="top"/>
          </w:tcPr>
          <w:p w14:paraId="444A367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13</w:t>
            </w:r>
          </w:p>
        </w:tc>
        <w:tc>
          <w:tcPr>
            <w:tcBorders>
              <w:top w:val="single" w:color="auto" w:sz="4" w:space="0"/>
              <w:left w:val="single" w:color="auto" w:sz="4" w:space="0"/>
            </w:tcBorders>
            <w:shd w:val="clear" w:color="auto" w:fill="FFFFFF"/>
            <w:vAlign w:val="top"/>
          </w:tcPr>
          <w:p w14:paraId="442F37B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声光报警器</w:t>
            </w:r>
          </w:p>
        </w:tc>
        <w:tc>
          <w:tcPr>
            <w:tcW w:w="1634" w:type="dxa"/>
            <w:tcBorders>
              <w:top w:val="single" w:color="auto" w:sz="4" w:space="0"/>
              <w:left w:val="single" w:color="auto" w:sz="4" w:space="0"/>
            </w:tcBorders>
            <w:shd w:val="clear" w:color="auto" w:fill="FFFFFF"/>
            <w:vAlign w:val="top"/>
          </w:tcPr>
          <w:p w14:paraId="4403C8F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top"/>
          </w:tcPr>
          <w:p w14:paraId="31F80F49">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7D46E91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155</w:t>
            </w:r>
          </w:p>
        </w:tc>
        <w:tc>
          <w:tcPr>
            <w:tcBorders>
              <w:top w:val="single" w:color="auto" w:sz="4" w:space="0"/>
              <w:left w:val="single" w:color="auto" w:sz="4" w:space="0"/>
              <w:right w:val="single" w:color="auto" w:sz="4" w:space="0"/>
            </w:tcBorders>
            <w:shd w:val="clear" w:color="auto" w:fill="FFFFFF"/>
            <w:vAlign w:val="top"/>
          </w:tcPr>
          <w:p w14:paraId="03770AA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49174892">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5562B6DB">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14</w:t>
            </w:r>
          </w:p>
        </w:tc>
        <w:tc>
          <w:tcPr>
            <w:tcBorders>
              <w:top w:val="single" w:color="auto" w:sz="4" w:space="0"/>
              <w:left w:val="single" w:color="auto" w:sz="4" w:space="0"/>
            </w:tcBorders>
            <w:shd w:val="clear" w:color="auto" w:fill="FFFFFF"/>
            <w:vAlign w:val="bottom"/>
          </w:tcPr>
          <w:p w14:paraId="5B259A4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紧急启动按钮</w:t>
            </w:r>
          </w:p>
        </w:tc>
        <w:tc>
          <w:tcPr>
            <w:tcW w:w="1634" w:type="dxa"/>
            <w:tcBorders>
              <w:top w:val="single" w:color="auto" w:sz="4" w:space="0"/>
              <w:left w:val="single" w:color="auto" w:sz="4" w:space="0"/>
            </w:tcBorders>
            <w:shd w:val="clear" w:color="auto" w:fill="FFFFFF"/>
            <w:vAlign w:val="bottom"/>
          </w:tcPr>
          <w:p w14:paraId="4E1196A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6538761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572FEFC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196</w:t>
            </w:r>
          </w:p>
        </w:tc>
        <w:tc>
          <w:tcPr>
            <w:tcBorders>
              <w:top w:val="single" w:color="auto" w:sz="4" w:space="0"/>
              <w:left w:val="single" w:color="auto" w:sz="4" w:space="0"/>
              <w:right w:val="single" w:color="auto" w:sz="4" w:space="0"/>
            </w:tcBorders>
            <w:shd w:val="clear" w:color="auto" w:fill="FFFFFF"/>
            <w:vAlign w:val="top"/>
          </w:tcPr>
          <w:p w14:paraId="012C50C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588F885E">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45D4B310">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15</w:t>
            </w:r>
          </w:p>
        </w:tc>
        <w:tc>
          <w:tcPr>
            <w:tcBorders>
              <w:top w:val="single" w:color="auto" w:sz="4" w:space="0"/>
              <w:left w:val="single" w:color="auto" w:sz="4" w:space="0"/>
            </w:tcBorders>
            <w:shd w:val="clear" w:color="auto" w:fill="FFFFFF"/>
            <w:vAlign w:val="bottom"/>
          </w:tcPr>
          <w:p w14:paraId="63335BEE">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小型继电器</w:t>
            </w:r>
          </w:p>
        </w:tc>
        <w:tc>
          <w:tcPr>
            <w:tcW w:w="1634" w:type="dxa"/>
            <w:tcBorders>
              <w:top w:val="single" w:color="auto" w:sz="4" w:space="0"/>
              <w:left w:val="single" w:color="auto" w:sz="4" w:space="0"/>
            </w:tcBorders>
            <w:shd w:val="clear" w:color="auto" w:fill="FFFFFF"/>
            <w:vAlign w:val="bottom"/>
          </w:tcPr>
          <w:p w14:paraId="17B135D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DC24V, AC220V</w:t>
            </w:r>
          </w:p>
        </w:tc>
        <w:tc>
          <w:tcPr>
            <w:tcW w:w="677" w:type="dxa"/>
            <w:tcBorders>
              <w:top w:val="single" w:color="auto" w:sz="4" w:space="0"/>
              <w:left w:val="single" w:color="auto" w:sz="4" w:space="0"/>
            </w:tcBorders>
            <w:shd w:val="clear" w:color="auto" w:fill="FFFFFF"/>
            <w:vAlign w:val="bottom"/>
          </w:tcPr>
          <w:p w14:paraId="073DD242">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1AA527A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36</w:t>
            </w:r>
          </w:p>
        </w:tc>
        <w:tc>
          <w:tcPr>
            <w:tcBorders>
              <w:top w:val="single" w:color="auto" w:sz="4" w:space="0"/>
              <w:left w:val="single" w:color="auto" w:sz="4" w:space="0"/>
              <w:right w:val="single" w:color="auto" w:sz="4" w:space="0"/>
            </w:tcBorders>
            <w:shd w:val="clear" w:color="auto" w:fill="FFFFFF"/>
            <w:vAlign w:val="top"/>
          </w:tcPr>
          <w:p w14:paraId="6E3F0A9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2752CE7E">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bottom"/>
          </w:tcPr>
          <w:p w14:paraId="78AC2EC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16</w:t>
            </w:r>
          </w:p>
        </w:tc>
        <w:tc>
          <w:tcPr>
            <w:tcBorders>
              <w:top w:val="single" w:color="auto" w:sz="4" w:space="0"/>
              <w:left w:val="single" w:color="auto" w:sz="4" w:space="0"/>
            </w:tcBorders>
            <w:shd w:val="clear" w:color="auto" w:fill="FFFFFF"/>
            <w:vAlign w:val="bottom"/>
          </w:tcPr>
          <w:p w14:paraId="025E1D6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气体释放报警灯</w:t>
            </w:r>
          </w:p>
        </w:tc>
        <w:tc>
          <w:tcPr>
            <w:tcW w:w="1634" w:type="dxa"/>
            <w:tcBorders>
              <w:top w:val="single" w:color="auto" w:sz="4" w:space="0"/>
              <w:left w:val="single" w:color="auto" w:sz="4" w:space="0"/>
            </w:tcBorders>
            <w:shd w:val="clear" w:color="auto" w:fill="FFFFFF"/>
            <w:vAlign w:val="bottom"/>
          </w:tcPr>
          <w:p w14:paraId="578556F3">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48FE95A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0A276D9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191</w:t>
            </w:r>
          </w:p>
        </w:tc>
        <w:tc>
          <w:tcPr>
            <w:tcBorders>
              <w:top w:val="single" w:color="auto" w:sz="4" w:space="0"/>
              <w:left w:val="single" w:color="auto" w:sz="4" w:space="0"/>
              <w:right w:val="single" w:color="auto" w:sz="4" w:space="0"/>
            </w:tcBorders>
            <w:shd w:val="clear" w:color="auto" w:fill="FFFFFF"/>
            <w:vAlign w:val="top"/>
          </w:tcPr>
          <w:p w14:paraId="1188224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75D2799D">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2ABC510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17</w:t>
            </w:r>
          </w:p>
        </w:tc>
        <w:tc>
          <w:tcPr>
            <w:tcBorders>
              <w:top w:val="single" w:color="auto" w:sz="4" w:space="0"/>
              <w:left w:val="single" w:color="auto" w:sz="4" w:space="0"/>
            </w:tcBorders>
            <w:shd w:val="clear" w:color="auto" w:fill="FFFFFF"/>
            <w:vAlign w:val="bottom"/>
          </w:tcPr>
          <w:p w14:paraId="5E0811E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手自动转换开关</w:t>
            </w:r>
          </w:p>
        </w:tc>
        <w:tc>
          <w:tcPr>
            <w:tcW w:w="1634" w:type="dxa"/>
            <w:tcBorders>
              <w:top w:val="single" w:color="auto" w:sz="4" w:space="0"/>
              <w:left w:val="single" w:color="auto" w:sz="4" w:space="0"/>
            </w:tcBorders>
            <w:shd w:val="clear" w:color="auto" w:fill="FFFFFF"/>
            <w:vAlign w:val="bottom"/>
          </w:tcPr>
          <w:p w14:paraId="0900F6E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w:t>
            </w:r>
          </w:p>
        </w:tc>
        <w:tc>
          <w:tcPr>
            <w:tcW w:w="677" w:type="dxa"/>
            <w:tcBorders>
              <w:top w:val="single" w:color="auto" w:sz="4" w:space="0"/>
              <w:left w:val="single" w:color="auto" w:sz="4" w:space="0"/>
            </w:tcBorders>
            <w:shd w:val="clear" w:color="auto" w:fill="FFFFFF"/>
            <w:vAlign w:val="bottom"/>
          </w:tcPr>
          <w:p w14:paraId="61BAC663">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67ACEF1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165</w:t>
            </w:r>
          </w:p>
        </w:tc>
        <w:tc>
          <w:tcPr>
            <w:tcBorders>
              <w:top w:val="single" w:color="auto" w:sz="4" w:space="0"/>
              <w:left w:val="single" w:color="auto" w:sz="4" w:space="0"/>
              <w:right w:val="single" w:color="auto" w:sz="4" w:space="0"/>
            </w:tcBorders>
            <w:shd w:val="clear" w:color="auto" w:fill="FFFFFF"/>
            <w:vAlign w:val="top"/>
          </w:tcPr>
          <w:p w14:paraId="5926F0F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4E118F95">
        <w:tblPrEx>
          <w:tblCellMar>
            <w:top w:w="0" w:type="dxa"/>
            <w:left w:w="10" w:type="dxa"/>
            <w:bottom w:w="0" w:type="dxa"/>
            <w:right w:w="10" w:type="dxa"/>
          </w:tblCellMar>
        </w:tblPrEx>
        <w:trPr>
          <w:trHeight w:val="282" w:hRule="exact"/>
          <w:jc w:val="center"/>
        </w:trPr>
        <w:tc>
          <w:tcPr>
            <w:tcBorders>
              <w:top w:val="single" w:color="auto" w:sz="4" w:space="0"/>
              <w:left w:val="single" w:color="auto" w:sz="4" w:space="0"/>
            </w:tcBorders>
            <w:shd w:val="clear" w:color="auto" w:fill="FFFFFF"/>
            <w:vAlign w:val="top"/>
          </w:tcPr>
          <w:p w14:paraId="6DDD19DB">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18</w:t>
            </w:r>
          </w:p>
        </w:tc>
        <w:tc>
          <w:tcPr>
            <w:tcBorders>
              <w:top w:val="single" w:color="auto" w:sz="4" w:space="0"/>
              <w:left w:val="single" w:color="auto" w:sz="4" w:space="0"/>
            </w:tcBorders>
            <w:shd w:val="clear" w:color="auto" w:fill="FFFFFF"/>
            <w:vAlign w:val="top"/>
          </w:tcPr>
          <w:p w14:paraId="4C47294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风机控制柜按钮</w:t>
            </w:r>
          </w:p>
        </w:tc>
        <w:tc>
          <w:tcPr>
            <w:tcW w:w="1634" w:type="dxa"/>
            <w:tcBorders>
              <w:top w:val="single" w:color="auto" w:sz="4" w:space="0"/>
              <w:left w:val="single" w:color="auto" w:sz="4" w:space="0"/>
            </w:tcBorders>
            <w:shd w:val="clear" w:color="auto" w:fill="FFFFFF"/>
            <w:vAlign w:val="top"/>
          </w:tcPr>
          <w:p w14:paraId="1C9422CE">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W w:w="677" w:type="dxa"/>
            <w:tcBorders>
              <w:top w:val="single" w:color="auto" w:sz="4" w:space="0"/>
              <w:left w:val="single" w:color="auto" w:sz="4" w:space="0"/>
            </w:tcBorders>
            <w:shd w:val="clear" w:color="auto" w:fill="FFFFFF"/>
            <w:vAlign w:val="top"/>
          </w:tcPr>
          <w:p w14:paraId="2B78A7F9">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5CF23570">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Borders>
              <w:top w:val="single" w:color="auto" w:sz="4" w:space="0"/>
              <w:left w:val="single" w:color="auto" w:sz="4" w:space="0"/>
              <w:right w:val="single" w:color="auto" w:sz="4" w:space="0"/>
            </w:tcBorders>
            <w:shd w:val="clear" w:color="auto" w:fill="FFFFFF"/>
            <w:vAlign w:val="top"/>
          </w:tcPr>
          <w:p w14:paraId="2B2864D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配套</w:t>
            </w:r>
          </w:p>
        </w:tc>
      </w:tr>
      <w:tr w14:paraId="278F7099">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bottom"/>
          </w:tcPr>
          <w:p w14:paraId="2E6490F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19</w:t>
            </w:r>
          </w:p>
        </w:tc>
        <w:tc>
          <w:tcPr>
            <w:tcBorders>
              <w:top w:val="single" w:color="auto" w:sz="4" w:space="0"/>
              <w:left w:val="single" w:color="auto" w:sz="4" w:space="0"/>
            </w:tcBorders>
            <w:shd w:val="clear" w:color="auto" w:fill="FFFFFF"/>
            <w:vAlign w:val="bottom"/>
          </w:tcPr>
          <w:p w14:paraId="2F635103">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水泵控制柜按钮</w:t>
            </w:r>
          </w:p>
        </w:tc>
        <w:tc>
          <w:tcPr>
            <w:tcW w:w="1634" w:type="dxa"/>
            <w:tcBorders>
              <w:top w:val="single" w:color="auto" w:sz="4" w:space="0"/>
              <w:left w:val="single" w:color="auto" w:sz="4" w:space="0"/>
            </w:tcBorders>
            <w:shd w:val="clear" w:color="auto" w:fill="FFFFFF"/>
            <w:vAlign w:val="top"/>
          </w:tcPr>
          <w:p w14:paraId="0F6E25A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W w:w="677" w:type="dxa"/>
            <w:tcBorders>
              <w:top w:val="single" w:color="auto" w:sz="4" w:space="0"/>
              <w:left w:val="single" w:color="auto" w:sz="4" w:space="0"/>
            </w:tcBorders>
            <w:shd w:val="clear" w:color="auto" w:fill="FFFFFF"/>
            <w:vAlign w:val="bottom"/>
          </w:tcPr>
          <w:p w14:paraId="774D1CD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66A5871E">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Borders>
              <w:top w:val="single" w:color="auto" w:sz="4" w:space="0"/>
              <w:left w:val="single" w:color="auto" w:sz="4" w:space="0"/>
              <w:right w:val="single" w:color="auto" w:sz="4" w:space="0"/>
            </w:tcBorders>
            <w:shd w:val="clear" w:color="auto" w:fill="FFFFFF"/>
            <w:vAlign w:val="bottom"/>
          </w:tcPr>
          <w:p w14:paraId="29F7C262">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配套</w:t>
            </w:r>
          </w:p>
        </w:tc>
      </w:tr>
      <w:tr w14:paraId="6F34A696">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154521CC">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20</w:t>
            </w:r>
          </w:p>
        </w:tc>
        <w:tc>
          <w:tcPr>
            <w:tcBorders>
              <w:top w:val="single" w:color="auto" w:sz="4" w:space="0"/>
              <w:left w:val="single" w:color="auto" w:sz="4" w:space="0"/>
            </w:tcBorders>
            <w:shd w:val="clear" w:color="auto" w:fill="FFFFFF"/>
            <w:vAlign w:val="top"/>
          </w:tcPr>
          <w:p w14:paraId="0A8B4DAC">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防火门手柄</w:t>
            </w:r>
          </w:p>
        </w:tc>
        <w:tc>
          <w:tcPr>
            <w:tcW w:w="1634" w:type="dxa"/>
            <w:tcBorders>
              <w:top w:val="single" w:color="auto" w:sz="4" w:space="0"/>
              <w:left w:val="single" w:color="auto" w:sz="4" w:space="0"/>
            </w:tcBorders>
            <w:shd w:val="clear" w:color="auto" w:fill="FFFFFF"/>
            <w:vAlign w:val="top"/>
          </w:tcPr>
          <w:p w14:paraId="0D8D945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W w:w="677" w:type="dxa"/>
            <w:tcBorders>
              <w:top w:val="single" w:color="auto" w:sz="4" w:space="0"/>
              <w:left w:val="single" w:color="auto" w:sz="4" w:space="0"/>
            </w:tcBorders>
            <w:shd w:val="clear" w:color="auto" w:fill="FFFFFF"/>
            <w:vAlign w:val="top"/>
          </w:tcPr>
          <w:p w14:paraId="6DE7EB8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7AB3F3AB">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Borders>
              <w:top w:val="single" w:color="auto" w:sz="4" w:space="0"/>
              <w:left w:val="single" w:color="auto" w:sz="4" w:space="0"/>
              <w:right w:val="single" w:color="auto" w:sz="4" w:space="0"/>
            </w:tcBorders>
            <w:shd w:val="clear" w:color="auto" w:fill="FFFFFF"/>
            <w:vAlign w:val="top"/>
          </w:tcPr>
          <w:p w14:paraId="7D64D51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配套</w:t>
            </w:r>
          </w:p>
        </w:tc>
      </w:tr>
      <w:tr w14:paraId="7718B15D">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top"/>
          </w:tcPr>
          <w:p w14:paraId="241CFF0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21</w:t>
            </w:r>
          </w:p>
        </w:tc>
        <w:tc>
          <w:tcPr>
            <w:tcBorders>
              <w:top w:val="single" w:color="auto" w:sz="4" w:space="0"/>
              <w:left w:val="single" w:color="auto" w:sz="4" w:space="0"/>
            </w:tcBorders>
            <w:shd w:val="clear" w:color="auto" w:fill="FFFFFF"/>
            <w:vAlign w:val="top"/>
          </w:tcPr>
          <w:p w14:paraId="3FC6AAE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卷帘门按钮</w:t>
            </w:r>
          </w:p>
        </w:tc>
        <w:tc>
          <w:tcPr>
            <w:tcW w:w="1634" w:type="dxa"/>
            <w:tcBorders>
              <w:top w:val="single" w:color="auto" w:sz="4" w:space="0"/>
              <w:left w:val="single" w:color="auto" w:sz="4" w:space="0"/>
            </w:tcBorders>
            <w:shd w:val="clear" w:color="auto" w:fill="FFFFFF"/>
            <w:vAlign w:val="top"/>
          </w:tcPr>
          <w:p w14:paraId="22858E6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W w:w="677" w:type="dxa"/>
            <w:tcBorders>
              <w:top w:val="single" w:color="auto" w:sz="4" w:space="0"/>
              <w:left w:val="single" w:color="auto" w:sz="4" w:space="0"/>
            </w:tcBorders>
            <w:shd w:val="clear" w:color="auto" w:fill="FFFFFF"/>
            <w:vAlign w:val="top"/>
          </w:tcPr>
          <w:p w14:paraId="589F1C5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0797ED6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67</w:t>
            </w:r>
          </w:p>
        </w:tc>
        <w:tc>
          <w:tcPr>
            <w:tcBorders>
              <w:top w:val="single" w:color="auto" w:sz="4" w:space="0"/>
              <w:left w:val="single" w:color="auto" w:sz="4" w:space="0"/>
              <w:right w:val="single" w:color="auto" w:sz="4" w:space="0"/>
            </w:tcBorders>
            <w:shd w:val="clear" w:color="auto" w:fill="FFFFFF"/>
            <w:vAlign w:val="top"/>
          </w:tcPr>
          <w:p w14:paraId="4277E26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配套</w:t>
            </w:r>
          </w:p>
        </w:tc>
      </w:tr>
      <w:tr w14:paraId="3CF53544">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410E1FA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22</w:t>
            </w:r>
          </w:p>
        </w:tc>
        <w:tc>
          <w:tcPr>
            <w:tcBorders>
              <w:top w:val="single" w:color="auto" w:sz="4" w:space="0"/>
              <w:left w:val="single" w:color="auto" w:sz="4" w:space="0"/>
            </w:tcBorders>
            <w:shd w:val="clear" w:color="auto" w:fill="FFFFFF"/>
            <w:vAlign w:val="bottom"/>
          </w:tcPr>
          <w:p w14:paraId="3468A43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卷帘门限位开关/齿轮</w:t>
            </w:r>
          </w:p>
        </w:tc>
        <w:tc>
          <w:tcPr>
            <w:tcW w:w="1634" w:type="dxa"/>
            <w:tcBorders>
              <w:top w:val="single" w:color="auto" w:sz="4" w:space="0"/>
              <w:left w:val="single" w:color="auto" w:sz="4" w:space="0"/>
            </w:tcBorders>
            <w:shd w:val="clear" w:color="auto" w:fill="FFFFFF"/>
            <w:vAlign w:val="top"/>
          </w:tcPr>
          <w:p w14:paraId="22DB776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W w:w="677" w:type="dxa"/>
            <w:tcBorders>
              <w:top w:val="single" w:color="auto" w:sz="4" w:space="0"/>
              <w:left w:val="single" w:color="auto" w:sz="4" w:space="0"/>
            </w:tcBorders>
            <w:shd w:val="clear" w:color="auto" w:fill="FFFFFF"/>
            <w:vAlign w:val="bottom"/>
          </w:tcPr>
          <w:p w14:paraId="2997C76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52BF7EB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191</w:t>
            </w:r>
          </w:p>
        </w:tc>
        <w:tc>
          <w:tcPr>
            <w:tcBorders>
              <w:top w:val="single" w:color="auto" w:sz="4" w:space="0"/>
              <w:left w:val="single" w:color="auto" w:sz="4" w:space="0"/>
              <w:right w:val="single" w:color="auto" w:sz="4" w:space="0"/>
            </w:tcBorders>
            <w:shd w:val="clear" w:color="auto" w:fill="FFFFFF"/>
            <w:vAlign w:val="bottom"/>
          </w:tcPr>
          <w:p w14:paraId="550F6C5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配套</w:t>
            </w:r>
          </w:p>
        </w:tc>
      </w:tr>
      <w:tr w14:paraId="6A6DEE2E">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bottom"/>
          </w:tcPr>
          <w:p w14:paraId="05D5909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23</w:t>
            </w:r>
          </w:p>
        </w:tc>
        <w:tc>
          <w:tcPr>
            <w:tcBorders>
              <w:top w:val="single" w:color="auto" w:sz="4" w:space="0"/>
              <w:left w:val="single" w:color="auto" w:sz="4" w:space="0"/>
            </w:tcBorders>
            <w:shd w:val="clear" w:color="auto" w:fill="FFFFFF"/>
            <w:vAlign w:val="bottom"/>
          </w:tcPr>
          <w:p w14:paraId="555925A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防火门闭门器</w:t>
            </w:r>
          </w:p>
        </w:tc>
        <w:tc>
          <w:tcPr>
            <w:tcW w:w="1634" w:type="dxa"/>
            <w:tcBorders>
              <w:top w:val="single" w:color="auto" w:sz="4" w:space="0"/>
              <w:left w:val="single" w:color="auto" w:sz="4" w:space="0"/>
            </w:tcBorders>
            <w:shd w:val="clear" w:color="auto" w:fill="FFFFFF"/>
            <w:vAlign w:val="bottom"/>
          </w:tcPr>
          <w:p w14:paraId="095B0D0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65KG</w:t>
            </w:r>
          </w:p>
        </w:tc>
        <w:tc>
          <w:tcPr>
            <w:tcW w:w="677" w:type="dxa"/>
            <w:tcBorders>
              <w:top w:val="single" w:color="auto" w:sz="4" w:space="0"/>
              <w:left w:val="single" w:color="auto" w:sz="4" w:space="0"/>
            </w:tcBorders>
            <w:shd w:val="clear" w:color="auto" w:fill="FFFFFF"/>
            <w:vAlign w:val="bottom"/>
          </w:tcPr>
          <w:p w14:paraId="69588679">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0FE2623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118</w:t>
            </w:r>
          </w:p>
        </w:tc>
        <w:tc>
          <w:tcPr>
            <w:tcBorders>
              <w:top w:val="single" w:color="auto" w:sz="4" w:space="0"/>
              <w:left w:val="single" w:color="auto" w:sz="4" w:space="0"/>
              <w:right w:val="single" w:color="auto" w:sz="4" w:space="0"/>
            </w:tcBorders>
            <w:shd w:val="clear" w:color="auto" w:fill="FFFFFF"/>
            <w:vAlign w:val="top"/>
          </w:tcPr>
          <w:p w14:paraId="4281479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02783DA3">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1935C289">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en-US" w:eastAsia="zh-CN"/>
              </w:rPr>
            </w:pPr>
            <w:r>
              <w:rPr>
                <w:rFonts w:hint="eastAsia" w:ascii="宋体" w:hAnsi="宋体" w:eastAsia="宋体" w:cs="宋体"/>
                <w:color w:val="000000"/>
                <w:spacing w:val="0"/>
                <w:w w:val="100"/>
                <w:position w:val="0"/>
                <w:lang w:val="en-US" w:eastAsia="zh-CN"/>
              </w:rPr>
              <w:t>24</w:t>
            </w:r>
          </w:p>
        </w:tc>
        <w:tc>
          <w:tcPr>
            <w:tcBorders>
              <w:top w:val="single" w:color="auto" w:sz="4" w:space="0"/>
              <w:left w:val="single" w:color="auto" w:sz="4" w:space="0"/>
            </w:tcBorders>
            <w:shd w:val="clear" w:color="auto" w:fill="FFFFFF"/>
            <w:vAlign w:val="top"/>
          </w:tcPr>
          <w:p w14:paraId="728256E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消火栓玻璃</w:t>
            </w:r>
          </w:p>
        </w:tc>
        <w:tc>
          <w:tcPr>
            <w:tcW w:w="1634" w:type="dxa"/>
            <w:tcBorders>
              <w:top w:val="single" w:color="auto" w:sz="4" w:space="0"/>
              <w:left w:val="single" w:color="auto" w:sz="4" w:space="0"/>
            </w:tcBorders>
            <w:shd w:val="clear" w:color="auto" w:fill="FFFFFF"/>
            <w:vAlign w:val="top"/>
          </w:tcPr>
          <w:p w14:paraId="500475D2">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 xml:space="preserve">650*1000 </w:t>
            </w:r>
            <w:r>
              <w:rPr>
                <w:rFonts w:hint="eastAsia" w:ascii="宋体" w:hAnsi="宋体" w:eastAsia="宋体" w:cs="宋体"/>
                <w:color w:val="000000"/>
                <w:spacing w:val="0"/>
                <w:w w:val="100"/>
                <w:position w:val="0"/>
              </w:rPr>
              <w:t>内</w:t>
            </w:r>
          </w:p>
        </w:tc>
        <w:tc>
          <w:tcPr>
            <w:tcW w:w="677" w:type="dxa"/>
            <w:tcBorders>
              <w:top w:val="single" w:color="auto" w:sz="4" w:space="0"/>
              <w:left w:val="single" w:color="auto" w:sz="4" w:space="0"/>
            </w:tcBorders>
            <w:shd w:val="clear" w:color="auto" w:fill="FFFFFF"/>
            <w:vAlign w:val="top"/>
          </w:tcPr>
          <w:p w14:paraId="3A8E183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平方</w:t>
            </w:r>
          </w:p>
        </w:tc>
        <w:tc>
          <w:tcPr>
            <w:tcBorders>
              <w:top w:val="single" w:color="auto" w:sz="4" w:space="0"/>
              <w:left w:val="single" w:color="auto" w:sz="4" w:space="0"/>
            </w:tcBorders>
            <w:shd w:val="clear" w:color="auto" w:fill="FFFFFF"/>
            <w:vAlign w:val="top"/>
          </w:tcPr>
          <w:p w14:paraId="01A66FB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Borders>
              <w:top w:val="single" w:color="auto" w:sz="4" w:space="0"/>
              <w:left w:val="single" w:color="auto" w:sz="4" w:space="0"/>
              <w:right w:val="single" w:color="auto" w:sz="4" w:space="0"/>
            </w:tcBorders>
            <w:shd w:val="clear" w:color="auto" w:fill="FFFFFF"/>
            <w:vAlign w:val="top"/>
          </w:tcPr>
          <w:p w14:paraId="1795250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5C257E71">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67E4C7D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25</w:t>
            </w:r>
          </w:p>
        </w:tc>
        <w:tc>
          <w:tcPr>
            <w:tcBorders>
              <w:top w:val="single" w:color="auto" w:sz="4" w:space="0"/>
              <w:left w:val="single" w:color="auto" w:sz="4" w:space="0"/>
            </w:tcBorders>
            <w:shd w:val="clear" w:color="auto" w:fill="FFFFFF"/>
            <w:vAlign w:val="top"/>
          </w:tcPr>
          <w:p w14:paraId="1C7D57A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消火栓箱门框</w:t>
            </w:r>
          </w:p>
        </w:tc>
        <w:tc>
          <w:tcPr>
            <w:tcW w:w="1634" w:type="dxa"/>
            <w:tcBorders>
              <w:top w:val="single" w:color="auto" w:sz="4" w:space="0"/>
              <w:left w:val="single" w:color="auto" w:sz="4" w:space="0"/>
            </w:tcBorders>
            <w:shd w:val="clear" w:color="auto" w:fill="FFFFFF"/>
            <w:vAlign w:val="top"/>
          </w:tcPr>
          <w:p w14:paraId="21FF0DB0">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 xml:space="preserve">650*1000 </w:t>
            </w:r>
            <w:r>
              <w:rPr>
                <w:rFonts w:hint="eastAsia" w:ascii="宋体" w:hAnsi="宋体" w:eastAsia="宋体" w:cs="宋体"/>
                <w:color w:val="000000"/>
                <w:spacing w:val="0"/>
                <w:w w:val="100"/>
                <w:position w:val="0"/>
              </w:rPr>
              <w:t>内</w:t>
            </w:r>
          </w:p>
        </w:tc>
        <w:tc>
          <w:tcPr>
            <w:tcW w:w="677" w:type="dxa"/>
            <w:tcBorders>
              <w:top w:val="single" w:color="auto" w:sz="4" w:space="0"/>
              <w:left w:val="single" w:color="auto" w:sz="4" w:space="0"/>
            </w:tcBorders>
            <w:shd w:val="clear" w:color="auto" w:fill="FFFFFF"/>
            <w:vAlign w:val="top"/>
          </w:tcPr>
          <w:p w14:paraId="7EB8A59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平方</w:t>
            </w:r>
          </w:p>
        </w:tc>
        <w:tc>
          <w:tcPr>
            <w:tcBorders>
              <w:top w:val="single" w:color="auto" w:sz="4" w:space="0"/>
              <w:left w:val="single" w:color="auto" w:sz="4" w:space="0"/>
            </w:tcBorders>
            <w:shd w:val="clear" w:color="auto" w:fill="FFFFFF"/>
            <w:vAlign w:val="top"/>
          </w:tcPr>
          <w:p w14:paraId="5224296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c>
          <w:tcPr>
            <w:tcBorders>
              <w:top w:val="single" w:color="auto" w:sz="4" w:space="0"/>
              <w:left w:val="single" w:color="auto" w:sz="4" w:space="0"/>
              <w:right w:val="single" w:color="auto" w:sz="4" w:space="0"/>
            </w:tcBorders>
            <w:shd w:val="clear" w:color="auto" w:fill="FFFFFF"/>
            <w:vAlign w:val="top"/>
          </w:tcPr>
          <w:p w14:paraId="4C03912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060B60BD">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top"/>
          </w:tcPr>
          <w:p w14:paraId="3699092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26</w:t>
            </w:r>
          </w:p>
        </w:tc>
        <w:tc>
          <w:tcPr>
            <w:tcBorders>
              <w:top w:val="single" w:color="auto" w:sz="4" w:space="0"/>
              <w:left w:val="single" w:color="auto" w:sz="4" w:space="0"/>
            </w:tcBorders>
            <w:shd w:val="clear" w:color="auto" w:fill="FFFFFF"/>
            <w:vAlign w:val="top"/>
          </w:tcPr>
          <w:p w14:paraId="73E6008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疏散指不灯</w:t>
            </w:r>
          </w:p>
        </w:tc>
        <w:tc>
          <w:tcPr>
            <w:tcW w:w="1634" w:type="dxa"/>
            <w:tcBorders>
              <w:top w:val="single" w:color="auto" w:sz="4" w:space="0"/>
              <w:left w:val="single" w:color="auto" w:sz="4" w:space="0"/>
            </w:tcBorders>
            <w:shd w:val="clear" w:color="auto" w:fill="FFFFFF"/>
            <w:vAlign w:val="top"/>
          </w:tcPr>
          <w:p w14:paraId="0829892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c>
          <w:tcPr>
            <w:tcW w:w="677" w:type="dxa"/>
            <w:tcBorders>
              <w:top w:val="single" w:color="auto" w:sz="4" w:space="0"/>
              <w:left w:val="single" w:color="auto" w:sz="4" w:space="0"/>
            </w:tcBorders>
            <w:shd w:val="clear" w:color="auto" w:fill="FFFFFF"/>
            <w:vAlign w:val="top"/>
          </w:tcPr>
          <w:p w14:paraId="0BA4CACE">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440A12A0">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62</w:t>
            </w:r>
          </w:p>
        </w:tc>
        <w:tc>
          <w:tcPr>
            <w:tcBorders>
              <w:top w:val="single" w:color="auto" w:sz="4" w:space="0"/>
              <w:left w:val="single" w:color="auto" w:sz="4" w:space="0"/>
              <w:right w:val="single" w:color="auto" w:sz="4" w:space="0"/>
            </w:tcBorders>
            <w:shd w:val="clear" w:color="auto" w:fill="FFFFFF"/>
            <w:vAlign w:val="top"/>
          </w:tcPr>
          <w:p w14:paraId="63320B73">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劳士、敏华、光世界</w:t>
            </w:r>
          </w:p>
        </w:tc>
      </w:tr>
      <w:tr w14:paraId="1D0D3385">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3DC553E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27</w:t>
            </w:r>
          </w:p>
        </w:tc>
        <w:tc>
          <w:tcPr>
            <w:tcBorders>
              <w:top w:val="single" w:color="auto" w:sz="4" w:space="0"/>
              <w:left w:val="single" w:color="auto" w:sz="4" w:space="0"/>
            </w:tcBorders>
            <w:shd w:val="clear" w:color="auto" w:fill="FFFFFF"/>
            <w:vAlign w:val="top"/>
          </w:tcPr>
          <w:p w14:paraId="5133724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双头应急灯</w:t>
            </w:r>
          </w:p>
        </w:tc>
        <w:tc>
          <w:tcPr>
            <w:tcW w:w="1634" w:type="dxa"/>
            <w:tcBorders>
              <w:top w:val="single" w:color="auto" w:sz="4" w:space="0"/>
              <w:left w:val="single" w:color="auto" w:sz="4" w:space="0"/>
            </w:tcBorders>
            <w:shd w:val="clear" w:color="auto" w:fill="FFFFFF"/>
            <w:vAlign w:val="top"/>
          </w:tcPr>
          <w:p w14:paraId="28929AA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c>
          <w:tcPr>
            <w:tcW w:w="677" w:type="dxa"/>
            <w:tcBorders>
              <w:top w:val="single" w:color="auto" w:sz="4" w:space="0"/>
              <w:left w:val="single" w:color="auto" w:sz="4" w:space="0"/>
            </w:tcBorders>
            <w:shd w:val="clear" w:color="auto" w:fill="FFFFFF"/>
            <w:vAlign w:val="top"/>
          </w:tcPr>
          <w:p w14:paraId="1837C81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07C5DF0B">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67</w:t>
            </w:r>
          </w:p>
        </w:tc>
        <w:tc>
          <w:tcPr>
            <w:tcBorders>
              <w:top w:val="single" w:color="auto" w:sz="4" w:space="0"/>
              <w:left w:val="single" w:color="auto" w:sz="4" w:space="0"/>
              <w:right w:val="single" w:color="auto" w:sz="4" w:space="0"/>
            </w:tcBorders>
            <w:shd w:val="clear" w:color="auto" w:fill="FFFFFF"/>
            <w:vAlign w:val="top"/>
          </w:tcPr>
          <w:p w14:paraId="12FA0C42">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劳士、敏华、光世界</w:t>
            </w:r>
          </w:p>
        </w:tc>
      </w:tr>
      <w:tr w14:paraId="4C65E39F">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bottom"/>
          </w:tcPr>
          <w:p w14:paraId="19A6DD5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28</w:t>
            </w:r>
          </w:p>
        </w:tc>
        <w:tc>
          <w:tcPr>
            <w:tcBorders>
              <w:top w:val="single" w:color="auto" w:sz="4" w:space="0"/>
              <w:left w:val="single" w:color="auto" w:sz="4" w:space="0"/>
            </w:tcBorders>
            <w:shd w:val="clear" w:color="auto" w:fill="FFFFFF"/>
            <w:vAlign w:val="bottom"/>
          </w:tcPr>
          <w:p w14:paraId="31A014C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压力开关</w:t>
            </w:r>
          </w:p>
        </w:tc>
        <w:tc>
          <w:tcPr>
            <w:tcW w:w="1634" w:type="dxa"/>
            <w:tcBorders>
              <w:top w:val="single" w:color="auto" w:sz="4" w:space="0"/>
              <w:left w:val="single" w:color="auto" w:sz="4" w:space="0"/>
            </w:tcBorders>
            <w:shd w:val="clear" w:color="auto" w:fill="FFFFFF"/>
            <w:vAlign w:val="bottom"/>
          </w:tcPr>
          <w:p w14:paraId="708946F3">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c>
          <w:tcPr>
            <w:tcW w:w="677" w:type="dxa"/>
            <w:tcBorders>
              <w:top w:val="single" w:color="auto" w:sz="4" w:space="0"/>
              <w:left w:val="single" w:color="auto" w:sz="4" w:space="0"/>
            </w:tcBorders>
            <w:shd w:val="clear" w:color="auto" w:fill="FFFFFF"/>
            <w:vAlign w:val="bottom"/>
          </w:tcPr>
          <w:p w14:paraId="335FE773">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bottom"/>
          </w:tcPr>
          <w:p w14:paraId="00E13C1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98</w:t>
            </w:r>
          </w:p>
        </w:tc>
        <w:tc>
          <w:tcPr>
            <w:tcBorders>
              <w:top w:val="single" w:color="auto" w:sz="4" w:space="0"/>
              <w:left w:val="single" w:color="auto" w:sz="4" w:space="0"/>
              <w:right w:val="single" w:color="auto" w:sz="4" w:space="0"/>
            </w:tcBorders>
            <w:shd w:val="clear" w:color="auto" w:fill="FFFFFF"/>
            <w:vAlign w:val="bottom"/>
          </w:tcPr>
          <w:p w14:paraId="191E4D6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DN15</w:t>
            </w:r>
          </w:p>
        </w:tc>
      </w:tr>
      <w:tr w14:paraId="3AA43872">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706F6E50">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29</w:t>
            </w:r>
          </w:p>
        </w:tc>
        <w:tc>
          <w:tcPr>
            <w:tcBorders>
              <w:top w:val="single" w:color="auto" w:sz="4" w:space="0"/>
              <w:left w:val="single" w:color="auto" w:sz="4" w:space="0"/>
            </w:tcBorders>
            <w:shd w:val="clear" w:color="auto" w:fill="FFFFFF"/>
            <w:vAlign w:val="top"/>
          </w:tcPr>
          <w:p w14:paraId="2A7EAF6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喷淋头</w:t>
            </w:r>
          </w:p>
        </w:tc>
        <w:tc>
          <w:tcPr>
            <w:tcW w:w="1634" w:type="dxa"/>
            <w:tcBorders>
              <w:top w:val="single" w:color="auto" w:sz="4" w:space="0"/>
              <w:left w:val="single" w:color="auto" w:sz="4" w:space="0"/>
            </w:tcBorders>
            <w:shd w:val="clear" w:color="auto" w:fill="FFFFFF"/>
            <w:vAlign w:val="top"/>
          </w:tcPr>
          <w:p w14:paraId="3E2F30B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c>
          <w:tcPr>
            <w:tcW w:w="677" w:type="dxa"/>
            <w:tcBorders>
              <w:top w:val="single" w:color="auto" w:sz="4" w:space="0"/>
              <w:left w:val="single" w:color="auto" w:sz="4" w:space="0"/>
            </w:tcBorders>
            <w:shd w:val="clear" w:color="auto" w:fill="FFFFFF"/>
            <w:vAlign w:val="top"/>
          </w:tcPr>
          <w:p w14:paraId="01C5A7A2">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016197F2">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19</w:t>
            </w:r>
          </w:p>
        </w:tc>
        <w:tc>
          <w:tcPr>
            <w:tcBorders>
              <w:top w:val="single" w:color="auto" w:sz="4" w:space="0"/>
              <w:left w:val="single" w:color="auto" w:sz="4" w:space="0"/>
              <w:right w:val="single" w:color="auto" w:sz="4" w:space="0"/>
            </w:tcBorders>
            <w:shd w:val="clear" w:color="auto" w:fill="FFFFFF"/>
            <w:vAlign w:val="top"/>
          </w:tcPr>
          <w:p w14:paraId="16AC1AD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0C6BAD99">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top"/>
          </w:tcPr>
          <w:p w14:paraId="0B96FA69">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30</w:t>
            </w:r>
          </w:p>
        </w:tc>
        <w:tc>
          <w:tcPr>
            <w:tcBorders>
              <w:top w:val="single" w:color="auto" w:sz="4" w:space="0"/>
              <w:left w:val="single" w:color="auto" w:sz="4" w:space="0"/>
            </w:tcBorders>
            <w:shd w:val="clear" w:color="auto" w:fill="FFFFFF"/>
            <w:vAlign w:val="top"/>
          </w:tcPr>
          <w:p w14:paraId="5D77726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消防广播喇叭</w:t>
            </w:r>
          </w:p>
        </w:tc>
        <w:tc>
          <w:tcPr>
            <w:tcW w:w="1634" w:type="dxa"/>
            <w:tcBorders>
              <w:top w:val="single" w:color="auto" w:sz="4" w:space="0"/>
              <w:left w:val="single" w:color="auto" w:sz="4" w:space="0"/>
            </w:tcBorders>
            <w:shd w:val="clear" w:color="auto" w:fill="FFFFFF"/>
            <w:vAlign w:val="top"/>
          </w:tcPr>
          <w:p w14:paraId="2F32B47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北大青鸟配套</w:t>
            </w:r>
          </w:p>
        </w:tc>
        <w:tc>
          <w:tcPr>
            <w:tcW w:w="677" w:type="dxa"/>
            <w:tcBorders>
              <w:top w:val="single" w:color="auto" w:sz="4" w:space="0"/>
              <w:left w:val="single" w:color="auto" w:sz="4" w:space="0"/>
            </w:tcBorders>
            <w:shd w:val="clear" w:color="auto" w:fill="FFFFFF"/>
            <w:vAlign w:val="top"/>
          </w:tcPr>
          <w:p w14:paraId="610EEF9C">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2084377A">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93</w:t>
            </w:r>
          </w:p>
        </w:tc>
        <w:tc>
          <w:tcPr>
            <w:tcBorders>
              <w:top w:val="single" w:color="auto" w:sz="4" w:space="0"/>
              <w:left w:val="single" w:color="auto" w:sz="4" w:space="0"/>
              <w:right w:val="single" w:color="auto" w:sz="4" w:space="0"/>
            </w:tcBorders>
            <w:shd w:val="clear" w:color="auto" w:fill="FFFFFF"/>
            <w:vAlign w:val="top"/>
          </w:tcPr>
          <w:p w14:paraId="30FE6612">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0BEE077E">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top"/>
          </w:tcPr>
          <w:p w14:paraId="37728C7E">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31</w:t>
            </w:r>
          </w:p>
        </w:tc>
        <w:tc>
          <w:tcPr>
            <w:tcBorders>
              <w:top w:val="single" w:color="auto" w:sz="4" w:space="0"/>
              <w:left w:val="single" w:color="auto" w:sz="4" w:space="0"/>
            </w:tcBorders>
            <w:shd w:val="clear" w:color="auto" w:fill="FFFFFF"/>
            <w:vAlign w:val="top"/>
          </w:tcPr>
          <w:p w14:paraId="5752046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消防电话分机</w:t>
            </w:r>
          </w:p>
        </w:tc>
        <w:tc>
          <w:tcPr>
            <w:tcW w:w="1634" w:type="dxa"/>
            <w:tcBorders>
              <w:top w:val="single" w:color="auto" w:sz="4" w:space="0"/>
              <w:left w:val="single" w:color="auto" w:sz="4" w:space="0"/>
            </w:tcBorders>
            <w:shd w:val="clear" w:color="auto" w:fill="FFFFFF"/>
            <w:vAlign w:val="top"/>
          </w:tcPr>
          <w:p w14:paraId="7B2D94D9">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北大青鸟配套</w:t>
            </w:r>
          </w:p>
        </w:tc>
        <w:tc>
          <w:tcPr>
            <w:tcW w:w="677" w:type="dxa"/>
            <w:tcBorders>
              <w:top w:val="single" w:color="auto" w:sz="4" w:space="0"/>
              <w:left w:val="single" w:color="auto" w:sz="4" w:space="0"/>
            </w:tcBorders>
            <w:shd w:val="clear" w:color="auto" w:fill="FFFFFF"/>
            <w:vAlign w:val="top"/>
          </w:tcPr>
          <w:p w14:paraId="408077F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个</w:t>
            </w:r>
          </w:p>
        </w:tc>
        <w:tc>
          <w:tcPr>
            <w:tcBorders>
              <w:top w:val="single" w:color="auto" w:sz="4" w:space="0"/>
              <w:left w:val="single" w:color="auto" w:sz="4" w:space="0"/>
            </w:tcBorders>
            <w:shd w:val="clear" w:color="auto" w:fill="FFFFFF"/>
            <w:vAlign w:val="top"/>
          </w:tcPr>
          <w:p w14:paraId="17E9763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170</w:t>
            </w:r>
          </w:p>
        </w:tc>
        <w:tc>
          <w:tcPr>
            <w:tcBorders>
              <w:top w:val="single" w:color="auto" w:sz="4" w:space="0"/>
              <w:left w:val="single" w:color="auto" w:sz="4" w:space="0"/>
              <w:right w:val="single" w:color="auto" w:sz="4" w:space="0"/>
            </w:tcBorders>
            <w:shd w:val="clear" w:color="auto" w:fill="FFFFFF"/>
            <w:vAlign w:val="top"/>
          </w:tcPr>
          <w:p w14:paraId="3E83506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p>
        </w:tc>
      </w:tr>
      <w:tr w14:paraId="0DE284C0">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FFFFFF"/>
            <w:vAlign w:val="bottom"/>
          </w:tcPr>
          <w:p w14:paraId="0D7B1A5B">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32</w:t>
            </w:r>
          </w:p>
        </w:tc>
        <w:tc>
          <w:tcPr>
            <w:tcBorders>
              <w:top w:val="single" w:color="auto" w:sz="4" w:space="0"/>
              <w:left w:val="single" w:color="auto" w:sz="4" w:space="0"/>
            </w:tcBorders>
            <w:shd w:val="clear" w:color="auto" w:fill="FFFFFF"/>
            <w:vAlign w:val="bottom"/>
          </w:tcPr>
          <w:p w14:paraId="6A34DC4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50米以下的信号线</w:t>
            </w:r>
          </w:p>
        </w:tc>
        <w:tc>
          <w:tcPr>
            <w:tcW w:w="1634" w:type="dxa"/>
            <w:tcBorders>
              <w:top w:val="single" w:color="auto" w:sz="4" w:space="0"/>
              <w:left w:val="single" w:color="auto" w:sz="4" w:space="0"/>
            </w:tcBorders>
            <w:shd w:val="clear" w:color="auto" w:fill="FFFFFF"/>
            <w:vAlign w:val="bottom"/>
          </w:tcPr>
          <w:p w14:paraId="51DE53B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 xml:space="preserve">RVS2*1. </w:t>
            </w:r>
            <w:r>
              <w:rPr>
                <w:rFonts w:hint="eastAsia" w:ascii="宋体" w:hAnsi="宋体" w:eastAsia="宋体" w:cs="宋体"/>
                <w:color w:val="000000"/>
                <w:spacing w:val="0"/>
                <w:w w:val="100"/>
                <w:position w:val="0"/>
              </w:rPr>
              <w:t>5</w:t>
            </w:r>
          </w:p>
        </w:tc>
        <w:tc>
          <w:tcPr>
            <w:tcW w:w="677" w:type="dxa"/>
            <w:tcBorders>
              <w:top w:val="single" w:color="auto" w:sz="4" w:space="0"/>
              <w:left w:val="single" w:color="auto" w:sz="4" w:space="0"/>
            </w:tcBorders>
            <w:shd w:val="clear" w:color="auto" w:fill="FFFFFF"/>
            <w:vAlign w:val="bottom"/>
          </w:tcPr>
          <w:p w14:paraId="6054786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米</w:t>
            </w:r>
          </w:p>
        </w:tc>
        <w:tc>
          <w:tcPr>
            <w:tcBorders>
              <w:top w:val="single" w:color="auto" w:sz="4" w:space="0"/>
              <w:left w:val="single" w:color="auto" w:sz="4" w:space="0"/>
            </w:tcBorders>
            <w:shd w:val="clear" w:color="auto" w:fill="FFFFFF"/>
            <w:vAlign w:val="bottom"/>
          </w:tcPr>
          <w:p w14:paraId="3EB39A1E">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185</w:t>
            </w:r>
          </w:p>
        </w:tc>
        <w:tc>
          <w:tcPr>
            <w:tcBorders>
              <w:top w:val="single" w:color="auto" w:sz="4" w:space="0"/>
              <w:left w:val="single" w:color="auto" w:sz="4" w:space="0"/>
              <w:right w:val="single" w:color="auto" w:sz="4" w:space="0"/>
            </w:tcBorders>
            <w:shd w:val="clear" w:color="auto" w:fill="FFFFFF"/>
            <w:vAlign w:val="bottom"/>
          </w:tcPr>
          <w:p w14:paraId="381F608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r>
      <w:tr w14:paraId="38564DA8">
        <w:tblPrEx>
          <w:tblCellMar>
            <w:top w:w="0" w:type="dxa"/>
            <w:left w:w="10" w:type="dxa"/>
            <w:bottom w:w="0" w:type="dxa"/>
            <w:right w:w="10" w:type="dxa"/>
          </w:tblCellMar>
        </w:tblPrEx>
        <w:trPr>
          <w:trHeight w:val="367" w:hRule="exact"/>
          <w:jc w:val="center"/>
        </w:trPr>
        <w:tc>
          <w:tcPr>
            <w:tcBorders>
              <w:top w:val="single" w:color="auto" w:sz="4" w:space="0"/>
              <w:left w:val="single" w:color="auto" w:sz="4" w:space="0"/>
            </w:tcBorders>
            <w:shd w:val="clear" w:color="auto" w:fill="FFFFFF"/>
            <w:vAlign w:val="bottom"/>
          </w:tcPr>
          <w:p w14:paraId="17C5FE7B">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33</w:t>
            </w:r>
          </w:p>
        </w:tc>
        <w:tc>
          <w:tcPr>
            <w:tcBorders>
              <w:top w:val="single" w:color="auto" w:sz="4" w:space="0"/>
              <w:left w:val="single" w:color="auto" w:sz="4" w:space="0"/>
            </w:tcBorders>
            <w:shd w:val="clear" w:color="auto" w:fill="FFFFFF"/>
            <w:vAlign w:val="bottom"/>
          </w:tcPr>
          <w:p w14:paraId="0D44381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50米以下的</w:t>
            </w:r>
            <w:r>
              <w:rPr>
                <w:rFonts w:hint="eastAsia" w:ascii="宋体" w:hAnsi="宋体" w:eastAsia="宋体" w:cs="宋体"/>
                <w:color w:val="000000"/>
                <w:spacing w:val="0"/>
                <w:w w:val="100"/>
                <w:position w:val="0"/>
                <w:lang w:val="en-US" w:eastAsia="en-US"/>
              </w:rPr>
              <w:t>24V</w:t>
            </w:r>
            <w:r>
              <w:rPr>
                <w:rFonts w:hint="eastAsia" w:ascii="宋体" w:hAnsi="宋体" w:eastAsia="宋体" w:cs="宋体"/>
                <w:color w:val="000000"/>
                <w:spacing w:val="0"/>
                <w:w w:val="100"/>
                <w:position w:val="0"/>
              </w:rPr>
              <w:t>电源线</w:t>
            </w:r>
          </w:p>
        </w:tc>
        <w:tc>
          <w:tcPr>
            <w:tcW w:w="1634" w:type="dxa"/>
            <w:tcBorders>
              <w:top w:val="single" w:color="auto" w:sz="4" w:space="0"/>
              <w:left w:val="single" w:color="auto" w:sz="4" w:space="0"/>
            </w:tcBorders>
            <w:shd w:val="clear" w:color="auto" w:fill="FFFFFF"/>
            <w:vAlign w:val="bottom"/>
          </w:tcPr>
          <w:p w14:paraId="14D78D2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 xml:space="preserve">RVS2*1. </w:t>
            </w:r>
            <w:r>
              <w:rPr>
                <w:rFonts w:hint="eastAsia" w:ascii="宋体" w:hAnsi="宋体" w:eastAsia="宋体" w:cs="宋体"/>
                <w:color w:val="000000"/>
                <w:spacing w:val="0"/>
                <w:w w:val="100"/>
                <w:position w:val="0"/>
              </w:rPr>
              <w:t>5</w:t>
            </w:r>
          </w:p>
        </w:tc>
        <w:tc>
          <w:tcPr>
            <w:tcW w:w="677" w:type="dxa"/>
            <w:tcBorders>
              <w:top w:val="single" w:color="auto" w:sz="4" w:space="0"/>
              <w:left w:val="single" w:color="auto" w:sz="4" w:space="0"/>
            </w:tcBorders>
            <w:shd w:val="clear" w:color="auto" w:fill="FFFFFF"/>
            <w:vAlign w:val="bottom"/>
          </w:tcPr>
          <w:p w14:paraId="4CED4BA2">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米</w:t>
            </w:r>
          </w:p>
        </w:tc>
        <w:tc>
          <w:tcPr>
            <w:tcBorders>
              <w:top w:val="single" w:color="auto" w:sz="4" w:space="0"/>
              <w:left w:val="single" w:color="auto" w:sz="4" w:space="0"/>
            </w:tcBorders>
            <w:shd w:val="clear" w:color="auto" w:fill="FFFFFF"/>
            <w:vAlign w:val="bottom"/>
          </w:tcPr>
          <w:p w14:paraId="06DC19F9">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185</w:t>
            </w:r>
          </w:p>
        </w:tc>
        <w:tc>
          <w:tcPr>
            <w:tcBorders>
              <w:top w:val="single" w:color="auto" w:sz="4" w:space="0"/>
              <w:left w:val="single" w:color="auto" w:sz="4" w:space="0"/>
              <w:right w:val="single" w:color="auto" w:sz="4" w:space="0"/>
            </w:tcBorders>
            <w:shd w:val="clear" w:color="auto" w:fill="FFFFFF"/>
            <w:vAlign w:val="bottom"/>
          </w:tcPr>
          <w:p w14:paraId="13BE7F7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r>
      <w:tr w14:paraId="63645F74">
        <w:tblPrEx>
          <w:tblCellMar>
            <w:top w:w="0" w:type="dxa"/>
            <w:left w:w="10" w:type="dxa"/>
            <w:bottom w:w="0" w:type="dxa"/>
            <w:right w:w="10" w:type="dxa"/>
          </w:tblCellMar>
        </w:tblPrEx>
        <w:trPr>
          <w:trHeight w:val="279" w:hRule="exact"/>
          <w:jc w:val="center"/>
        </w:trPr>
        <w:tc>
          <w:tcPr>
            <w:tcBorders>
              <w:top w:val="single" w:color="auto" w:sz="4" w:space="0"/>
              <w:left w:val="single" w:color="auto" w:sz="4" w:space="0"/>
              <w:bottom w:val="single" w:color="auto" w:sz="4" w:space="0"/>
            </w:tcBorders>
            <w:shd w:val="clear" w:color="auto" w:fill="FFFFFF"/>
            <w:vAlign w:val="top"/>
          </w:tcPr>
          <w:p w14:paraId="0E6408CE">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34</w:t>
            </w:r>
          </w:p>
        </w:tc>
        <w:tc>
          <w:tcPr>
            <w:tcBorders>
              <w:top w:val="single" w:color="auto" w:sz="4" w:space="0"/>
              <w:left w:val="single" w:color="auto" w:sz="4" w:space="0"/>
              <w:bottom w:val="single" w:color="auto" w:sz="4" w:space="0"/>
            </w:tcBorders>
            <w:shd w:val="clear" w:color="auto" w:fill="FFFFFF"/>
            <w:vAlign w:val="top"/>
          </w:tcPr>
          <w:p w14:paraId="262D550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50米以下的广播线</w:t>
            </w:r>
          </w:p>
        </w:tc>
        <w:tc>
          <w:tcPr>
            <w:tcW w:w="1634" w:type="dxa"/>
            <w:tcBorders>
              <w:top w:val="single" w:color="auto" w:sz="4" w:space="0"/>
              <w:left w:val="single" w:color="auto" w:sz="4" w:space="0"/>
              <w:bottom w:val="single" w:color="auto" w:sz="4" w:space="0"/>
            </w:tcBorders>
            <w:shd w:val="clear" w:color="auto" w:fill="FFFFFF"/>
            <w:vAlign w:val="top"/>
          </w:tcPr>
          <w:p w14:paraId="15BF6D14">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lang w:val="en-US" w:eastAsia="en-US"/>
              </w:rPr>
              <w:t>RVS2*1.</w:t>
            </w:r>
            <w:r>
              <w:rPr>
                <w:rFonts w:hint="eastAsia" w:ascii="宋体" w:hAnsi="宋体" w:eastAsia="宋体" w:cs="宋体"/>
                <w:color w:val="000000"/>
                <w:spacing w:val="0"/>
                <w:w w:val="100"/>
                <w:position w:val="0"/>
              </w:rPr>
              <w:t>5</w:t>
            </w:r>
          </w:p>
        </w:tc>
        <w:tc>
          <w:tcPr>
            <w:tcW w:w="677" w:type="dxa"/>
            <w:tcBorders>
              <w:top w:val="single" w:color="auto" w:sz="4" w:space="0"/>
              <w:left w:val="single" w:color="auto" w:sz="4" w:space="0"/>
              <w:bottom w:val="single" w:color="auto" w:sz="4" w:space="0"/>
            </w:tcBorders>
            <w:shd w:val="clear" w:color="auto" w:fill="FFFFFF"/>
            <w:vAlign w:val="top"/>
          </w:tcPr>
          <w:p w14:paraId="7EB30365">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米</w:t>
            </w:r>
          </w:p>
        </w:tc>
        <w:tc>
          <w:tcPr>
            <w:tcBorders>
              <w:top w:val="single" w:color="auto" w:sz="4" w:space="0"/>
              <w:left w:val="single" w:color="auto" w:sz="4" w:space="0"/>
              <w:bottom w:val="single" w:color="auto" w:sz="4" w:space="0"/>
            </w:tcBorders>
            <w:shd w:val="clear" w:color="auto" w:fill="FFFFFF"/>
            <w:vAlign w:val="top"/>
          </w:tcPr>
          <w:p w14:paraId="40A524D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185</w:t>
            </w:r>
          </w:p>
        </w:tc>
        <w:tc>
          <w:tcPr>
            <w:tcBorders>
              <w:top w:val="single" w:color="auto" w:sz="4" w:space="0"/>
              <w:left w:val="single" w:color="auto" w:sz="4" w:space="0"/>
              <w:bottom w:val="single" w:color="auto" w:sz="4" w:space="0"/>
              <w:right w:val="single" w:color="auto" w:sz="4" w:space="0"/>
            </w:tcBorders>
            <w:shd w:val="clear" w:color="auto" w:fill="FFFFFF"/>
            <w:vAlign w:val="top"/>
          </w:tcPr>
          <w:p w14:paraId="3755CB08">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国标</w:t>
            </w:r>
          </w:p>
        </w:tc>
      </w:tr>
      <w:tr w14:paraId="59B9B9EB">
        <w:tblPrEx>
          <w:tblCellMar>
            <w:top w:w="0" w:type="dxa"/>
            <w:left w:w="10" w:type="dxa"/>
            <w:bottom w:w="0" w:type="dxa"/>
            <w:right w:w="10" w:type="dxa"/>
          </w:tblCellMar>
        </w:tblPrEx>
        <w:trPr>
          <w:trHeight w:val="389" w:hRule="exact"/>
          <w:jc w:val="center"/>
        </w:trPr>
        <w:tc>
          <w:tcPr>
            <w:tcBorders>
              <w:top w:val="single" w:color="auto" w:sz="4" w:space="0"/>
              <w:left w:val="single" w:color="auto" w:sz="4" w:space="0"/>
              <w:bottom w:val="single" w:color="auto" w:sz="4" w:space="0"/>
            </w:tcBorders>
            <w:shd w:val="clear" w:color="auto" w:fill="FFFFFF"/>
            <w:vAlign w:val="bottom"/>
          </w:tcPr>
          <w:p w14:paraId="48901B5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lang w:val="zh-CN" w:eastAsia="zh-CN"/>
              </w:rPr>
              <w:t>35</w:t>
            </w:r>
          </w:p>
        </w:tc>
        <w:tc>
          <w:tcPr>
            <w:tcBorders>
              <w:top w:val="single" w:color="auto" w:sz="4" w:space="0"/>
              <w:left w:val="single" w:color="auto" w:sz="4" w:space="0"/>
              <w:bottom w:val="single" w:color="auto" w:sz="4" w:space="0"/>
            </w:tcBorders>
            <w:shd w:val="clear" w:color="auto" w:fill="FFFFFF"/>
            <w:vAlign w:val="bottom"/>
          </w:tcPr>
          <w:p w14:paraId="1F189AFB">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lang w:val="zh-CN" w:eastAsia="zh-CN"/>
              </w:rPr>
              <w:t>50</w:t>
            </w:r>
            <w:r>
              <w:rPr>
                <w:rFonts w:hint="eastAsia" w:ascii="宋体" w:hAnsi="宋体" w:eastAsia="宋体" w:cs="宋体"/>
                <w:color w:val="000000"/>
                <w:spacing w:val="0"/>
                <w:w w:val="100"/>
                <w:position w:val="0"/>
              </w:rPr>
              <w:t>米以下的电话线</w:t>
            </w:r>
          </w:p>
        </w:tc>
        <w:tc>
          <w:tcPr>
            <w:tcW w:w="1634" w:type="dxa"/>
            <w:tcBorders>
              <w:top w:val="single" w:color="auto" w:sz="4" w:space="0"/>
              <w:left w:val="single" w:color="auto" w:sz="4" w:space="0"/>
              <w:bottom w:val="single" w:color="auto" w:sz="4" w:space="0"/>
            </w:tcBorders>
            <w:shd w:val="clear" w:color="auto" w:fill="FFFFFF"/>
            <w:vAlign w:val="bottom"/>
          </w:tcPr>
          <w:p w14:paraId="66385F9F">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en-US" w:eastAsia="en-US"/>
              </w:rPr>
            </w:pPr>
            <w:r>
              <w:rPr>
                <w:rFonts w:hint="eastAsia" w:ascii="宋体" w:hAnsi="宋体" w:eastAsia="宋体" w:cs="宋体"/>
                <w:color w:val="000000"/>
                <w:spacing w:val="0"/>
                <w:w w:val="100"/>
                <w:position w:val="0"/>
                <w:lang w:val="en-US" w:eastAsia="en-US"/>
              </w:rPr>
              <w:t xml:space="preserve">RVS2*1. </w:t>
            </w:r>
            <w:r>
              <w:rPr>
                <w:rFonts w:hint="eastAsia" w:ascii="宋体" w:hAnsi="宋体" w:eastAsia="宋体" w:cs="宋体"/>
                <w:color w:val="000000"/>
                <w:spacing w:val="0"/>
                <w:w w:val="100"/>
                <w:position w:val="0"/>
              </w:rPr>
              <w:t>5</w:t>
            </w:r>
          </w:p>
        </w:tc>
        <w:tc>
          <w:tcPr>
            <w:tcW w:w="677" w:type="dxa"/>
            <w:tcBorders>
              <w:top w:val="single" w:color="auto" w:sz="4" w:space="0"/>
              <w:left w:val="single" w:color="auto" w:sz="4" w:space="0"/>
              <w:bottom w:val="single" w:color="auto" w:sz="4" w:space="0"/>
            </w:tcBorders>
            <w:shd w:val="clear" w:color="auto" w:fill="FFFFFF"/>
            <w:vAlign w:val="bottom"/>
          </w:tcPr>
          <w:p w14:paraId="6569C43E">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米</w:t>
            </w:r>
          </w:p>
        </w:tc>
        <w:tc>
          <w:tcPr>
            <w:tcBorders>
              <w:top w:val="single" w:color="auto" w:sz="4" w:space="0"/>
              <w:left w:val="single" w:color="auto" w:sz="4" w:space="0"/>
              <w:bottom w:val="single" w:color="auto" w:sz="4" w:space="0"/>
            </w:tcBorders>
            <w:shd w:val="clear" w:color="auto" w:fill="FFFFFF"/>
            <w:vAlign w:val="bottom"/>
          </w:tcPr>
          <w:p w14:paraId="4EB7C3D2">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185</w:t>
            </w:r>
          </w:p>
        </w:tc>
        <w:tc>
          <w:tcPr>
            <w:tcBorders>
              <w:top w:val="single" w:color="auto" w:sz="4" w:space="0"/>
              <w:left w:val="single" w:color="auto" w:sz="4" w:space="0"/>
              <w:bottom w:val="single" w:color="auto" w:sz="4" w:space="0"/>
              <w:right w:val="single" w:color="auto" w:sz="4" w:space="0"/>
            </w:tcBorders>
            <w:shd w:val="clear" w:color="auto" w:fill="FFFFFF"/>
            <w:vAlign w:val="bottom"/>
          </w:tcPr>
          <w:p w14:paraId="4FC9CC92">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国标</w:t>
            </w:r>
          </w:p>
        </w:tc>
      </w:tr>
      <w:tr w14:paraId="20256BE6">
        <w:tblPrEx>
          <w:tblCellMar>
            <w:top w:w="0" w:type="dxa"/>
            <w:left w:w="10" w:type="dxa"/>
            <w:bottom w:w="0" w:type="dxa"/>
            <w:right w:w="10" w:type="dxa"/>
          </w:tblCellMar>
        </w:tblPrEx>
        <w:trPr>
          <w:trHeight w:val="389" w:hRule="exact"/>
          <w:jc w:val="center"/>
        </w:trPr>
        <w:tc>
          <w:tcPr>
            <w:tcBorders>
              <w:top w:val="single" w:color="auto" w:sz="4" w:space="0"/>
              <w:left w:val="single" w:color="auto" w:sz="4" w:space="0"/>
              <w:bottom w:val="single" w:color="auto" w:sz="4" w:space="0"/>
            </w:tcBorders>
            <w:shd w:val="clear" w:color="auto" w:fill="FFFFFF"/>
            <w:vAlign w:val="bottom"/>
          </w:tcPr>
          <w:p w14:paraId="237989B0">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lang w:val="zh-CN" w:eastAsia="zh-CN"/>
              </w:rPr>
              <w:t>36</w:t>
            </w:r>
          </w:p>
        </w:tc>
        <w:tc>
          <w:tcPr>
            <w:tcBorders>
              <w:top w:val="single" w:color="auto" w:sz="4" w:space="0"/>
              <w:left w:val="single" w:color="auto" w:sz="4" w:space="0"/>
              <w:bottom w:val="single" w:color="auto" w:sz="4" w:space="0"/>
            </w:tcBorders>
            <w:shd w:val="clear" w:color="auto" w:fill="FFFFFF"/>
            <w:vAlign w:val="bottom"/>
          </w:tcPr>
          <w:p w14:paraId="30F62FD2">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保险丝</w:t>
            </w:r>
          </w:p>
        </w:tc>
        <w:tc>
          <w:tcPr>
            <w:tcW w:w="1634" w:type="dxa"/>
            <w:tcBorders>
              <w:top w:val="single" w:color="auto" w:sz="4" w:space="0"/>
              <w:left w:val="single" w:color="auto" w:sz="4" w:space="0"/>
              <w:bottom w:val="single" w:color="auto" w:sz="4" w:space="0"/>
            </w:tcBorders>
            <w:shd w:val="clear" w:color="auto" w:fill="FFFFFF"/>
            <w:vAlign w:val="top"/>
          </w:tcPr>
          <w:p w14:paraId="24C8B7D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en-US" w:eastAsia="en-US"/>
              </w:rPr>
            </w:pPr>
          </w:p>
        </w:tc>
        <w:tc>
          <w:tcPr>
            <w:tcW w:w="677" w:type="dxa"/>
            <w:tcBorders>
              <w:top w:val="single" w:color="auto" w:sz="4" w:space="0"/>
              <w:left w:val="single" w:color="auto" w:sz="4" w:space="0"/>
              <w:bottom w:val="single" w:color="auto" w:sz="4" w:space="0"/>
            </w:tcBorders>
            <w:shd w:val="clear" w:color="auto" w:fill="FFFFFF"/>
            <w:vAlign w:val="bottom"/>
          </w:tcPr>
          <w:p w14:paraId="6B7E0BF0">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卷</w:t>
            </w:r>
          </w:p>
        </w:tc>
        <w:tc>
          <w:tcPr>
            <w:tcBorders>
              <w:top w:val="single" w:color="auto" w:sz="4" w:space="0"/>
              <w:left w:val="single" w:color="auto" w:sz="4" w:space="0"/>
              <w:bottom w:val="single" w:color="auto" w:sz="4" w:space="0"/>
            </w:tcBorders>
            <w:shd w:val="clear" w:color="auto" w:fill="FFFFFF"/>
            <w:vAlign w:val="bottom"/>
          </w:tcPr>
          <w:p w14:paraId="35030080">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2</w:t>
            </w:r>
          </w:p>
        </w:tc>
        <w:tc>
          <w:tcPr>
            <w:tcBorders>
              <w:top w:val="single" w:color="auto" w:sz="4" w:space="0"/>
              <w:left w:val="single" w:color="auto" w:sz="4" w:space="0"/>
              <w:bottom w:val="single" w:color="auto" w:sz="4" w:space="0"/>
              <w:right w:val="single" w:color="auto" w:sz="4" w:space="0"/>
            </w:tcBorders>
            <w:shd w:val="clear" w:color="auto" w:fill="FFFFFF"/>
            <w:vAlign w:val="bottom"/>
          </w:tcPr>
          <w:p w14:paraId="486FC506">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配套</w:t>
            </w:r>
          </w:p>
        </w:tc>
      </w:tr>
      <w:tr w14:paraId="2AB6F2DF">
        <w:tblPrEx>
          <w:tblCellMar>
            <w:top w:w="0" w:type="dxa"/>
            <w:left w:w="10" w:type="dxa"/>
            <w:bottom w:w="0" w:type="dxa"/>
            <w:right w:w="10" w:type="dxa"/>
          </w:tblCellMar>
        </w:tblPrEx>
        <w:trPr>
          <w:trHeight w:val="389" w:hRule="exact"/>
          <w:jc w:val="center"/>
        </w:trPr>
        <w:tc>
          <w:tcPr>
            <w:tcBorders>
              <w:top w:val="single" w:color="auto" w:sz="4" w:space="0"/>
              <w:left w:val="single" w:color="auto" w:sz="4" w:space="0"/>
              <w:bottom w:val="single" w:color="auto" w:sz="4" w:space="0"/>
            </w:tcBorders>
            <w:shd w:val="clear" w:color="auto" w:fill="FFFFFF"/>
            <w:vAlign w:val="top"/>
          </w:tcPr>
          <w:p w14:paraId="311B7973">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lang w:val="zh-CN" w:eastAsia="zh-CN"/>
              </w:rPr>
              <w:t>37</w:t>
            </w:r>
          </w:p>
        </w:tc>
        <w:tc>
          <w:tcPr>
            <w:tcBorders>
              <w:top w:val="single" w:color="auto" w:sz="4" w:space="0"/>
              <w:left w:val="single" w:color="auto" w:sz="4" w:space="0"/>
              <w:bottom w:val="single" w:color="auto" w:sz="4" w:space="0"/>
            </w:tcBorders>
            <w:shd w:val="clear" w:color="auto" w:fill="FFFFFF"/>
            <w:vAlign w:val="top"/>
          </w:tcPr>
          <w:p w14:paraId="3337965D">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绝缘胶布</w:t>
            </w:r>
          </w:p>
        </w:tc>
        <w:tc>
          <w:tcPr>
            <w:tcW w:w="1634" w:type="dxa"/>
            <w:tcBorders>
              <w:top w:val="single" w:color="auto" w:sz="4" w:space="0"/>
              <w:left w:val="single" w:color="auto" w:sz="4" w:space="0"/>
              <w:bottom w:val="single" w:color="auto" w:sz="4" w:space="0"/>
            </w:tcBorders>
            <w:shd w:val="clear" w:color="auto" w:fill="FFFFFF"/>
            <w:vAlign w:val="top"/>
          </w:tcPr>
          <w:p w14:paraId="1146896C">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en-US" w:eastAsia="en-US"/>
              </w:rPr>
            </w:pPr>
          </w:p>
        </w:tc>
        <w:tc>
          <w:tcPr>
            <w:tcW w:w="677" w:type="dxa"/>
            <w:tcBorders>
              <w:top w:val="single" w:color="auto" w:sz="4" w:space="0"/>
              <w:left w:val="single" w:color="auto" w:sz="4" w:space="0"/>
              <w:bottom w:val="single" w:color="auto" w:sz="4" w:space="0"/>
            </w:tcBorders>
            <w:shd w:val="clear" w:color="auto" w:fill="FFFFFF"/>
            <w:vAlign w:val="top"/>
          </w:tcPr>
          <w:p w14:paraId="72325D97">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卷</w:t>
            </w:r>
          </w:p>
        </w:tc>
        <w:tc>
          <w:tcPr>
            <w:tcBorders>
              <w:top w:val="single" w:color="auto" w:sz="4" w:space="0"/>
              <w:left w:val="single" w:color="auto" w:sz="4" w:space="0"/>
              <w:bottom w:val="single" w:color="auto" w:sz="4" w:space="0"/>
            </w:tcBorders>
            <w:shd w:val="clear" w:color="auto" w:fill="FFFFFF"/>
            <w:vAlign w:val="top"/>
          </w:tcPr>
          <w:p w14:paraId="45D7FFE1">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zh-TW" w:eastAsia="zh-TW"/>
              </w:rPr>
            </w:pPr>
            <w:r>
              <w:rPr>
                <w:rFonts w:hint="eastAsia" w:ascii="宋体" w:hAnsi="宋体" w:eastAsia="宋体" w:cs="宋体"/>
                <w:color w:val="000000"/>
                <w:spacing w:val="0"/>
                <w:w w:val="100"/>
                <w:position w:val="0"/>
              </w:rPr>
              <w:t>2</w:t>
            </w:r>
          </w:p>
        </w:tc>
        <w:tc>
          <w:tcPr>
            <w:tcBorders>
              <w:top w:val="single" w:color="auto" w:sz="4" w:space="0"/>
              <w:left w:val="single" w:color="auto" w:sz="4" w:space="0"/>
              <w:bottom w:val="single" w:color="auto" w:sz="4" w:space="0"/>
              <w:right w:val="single" w:color="auto" w:sz="4" w:space="0"/>
            </w:tcBorders>
            <w:shd w:val="clear" w:color="auto" w:fill="FFFFFF"/>
            <w:vAlign w:val="top"/>
          </w:tcPr>
          <w:p w14:paraId="0F031D32">
            <w:pPr>
              <w:pStyle w:val="18"/>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spacing w:val="0"/>
                <w:w w:val="100"/>
                <w:position w:val="0"/>
                <w:lang w:val="en-US" w:eastAsia="en-US"/>
              </w:rPr>
            </w:pPr>
          </w:p>
        </w:tc>
      </w:tr>
    </w:tbl>
    <w:p w14:paraId="415637B4">
      <w:pPr>
        <w:snapToGrid w:val="0"/>
        <w:spacing w:before="240" w:after="240" w:line="520" w:lineRule="exact"/>
        <w:rPr>
          <w:rFonts w:ascii="仿宋" w:hAnsi="仿宋" w:eastAsia="仿宋" w:cs="宋体"/>
          <w:color w:val="auto"/>
          <w:sz w:val="30"/>
          <w:szCs w:val="30"/>
        </w:rPr>
      </w:pPr>
    </w:p>
    <w:p w14:paraId="5C49F56B">
      <w:pPr>
        <w:widowControl/>
        <w:jc w:val="left"/>
        <w:rPr>
          <w:rFonts w:ascii="仿宋" w:hAnsi="仿宋" w:eastAsia="仿宋" w:cs="宋体"/>
          <w:color w:val="auto"/>
          <w:sz w:val="30"/>
          <w:szCs w:val="30"/>
        </w:rPr>
      </w:pPr>
      <w:r>
        <w:rPr>
          <w:rFonts w:ascii="仿宋" w:hAnsi="仿宋" w:eastAsia="仿宋" w:cs="宋体"/>
          <w:color w:val="auto"/>
          <w:sz w:val="30"/>
          <w:szCs w:val="30"/>
        </w:rPr>
        <w:br w:type="page"/>
      </w:r>
    </w:p>
    <w:p w14:paraId="0A10698D">
      <w:pPr>
        <w:snapToGrid w:val="0"/>
        <w:spacing w:before="240" w:after="240" w:line="520" w:lineRule="exact"/>
        <w:rPr>
          <w:rFonts w:ascii="仿宋" w:hAnsi="仿宋" w:eastAsia="仿宋" w:cs="宋体"/>
          <w:color w:val="auto"/>
          <w:sz w:val="30"/>
          <w:szCs w:val="30"/>
        </w:rPr>
      </w:pPr>
      <w:r>
        <w:rPr>
          <w:rFonts w:hint="eastAsia" w:ascii="仿宋" w:hAnsi="仿宋" w:eastAsia="仿宋"/>
          <w:b/>
          <w:bCs/>
          <w:color w:val="auto"/>
          <w:sz w:val="30"/>
          <w:szCs w:val="30"/>
        </w:rPr>
        <w:t>附件五：</w:t>
      </w:r>
      <w:r>
        <w:rPr>
          <w:rFonts w:ascii="仿宋" w:hAnsi="仿宋" w:eastAsia="仿宋"/>
          <w:b/>
          <w:bCs/>
          <w:color w:val="auto"/>
          <w:sz w:val="30"/>
          <w:szCs w:val="30"/>
          <w:u w:val="single"/>
        </w:rPr>
        <w:t xml:space="preserve">  200  </w:t>
      </w:r>
      <w:r>
        <w:rPr>
          <w:rFonts w:hint="eastAsia" w:ascii="仿宋" w:hAnsi="仿宋" w:eastAsia="仿宋"/>
          <w:b/>
          <w:bCs/>
          <w:color w:val="auto"/>
          <w:sz w:val="30"/>
          <w:szCs w:val="30"/>
        </w:rPr>
        <w:t>元以上付费材料清单</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1949"/>
        <w:gridCol w:w="1896"/>
        <w:gridCol w:w="1460"/>
        <w:gridCol w:w="725"/>
        <w:gridCol w:w="1797"/>
      </w:tblGrid>
      <w:tr w14:paraId="65C6F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pct"/>
            <w:shd w:val="clear" w:color="auto" w:fill="auto"/>
            <w:vAlign w:val="center"/>
          </w:tcPr>
          <w:p w14:paraId="17ACD729">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序号</w:t>
            </w:r>
          </w:p>
        </w:tc>
        <w:tc>
          <w:tcPr>
            <w:tcW w:w="1150" w:type="pct"/>
            <w:shd w:val="clear" w:color="auto" w:fill="auto"/>
            <w:vAlign w:val="center"/>
          </w:tcPr>
          <w:p w14:paraId="0994A071">
            <w:pPr>
              <w:spacing w:line="520" w:lineRule="exact"/>
              <w:jc w:val="center"/>
              <w:rPr>
                <w:rFonts w:ascii="仿宋" w:hAnsi="仿宋" w:eastAsia="仿宋" w:cs="宋体"/>
                <w:color w:val="auto"/>
                <w:sz w:val="24"/>
                <w:szCs w:val="24"/>
              </w:rPr>
            </w:pPr>
            <w:r>
              <w:rPr>
                <w:rFonts w:hint="eastAsia" w:ascii="仿宋" w:hAnsi="仿宋" w:eastAsia="仿宋" w:cs="宋体"/>
                <w:color w:val="auto"/>
                <w:sz w:val="24"/>
                <w:szCs w:val="24"/>
              </w:rPr>
              <w:t>材料</w:t>
            </w:r>
            <w:r>
              <w:rPr>
                <w:rFonts w:ascii="仿宋" w:hAnsi="仿宋" w:eastAsia="仿宋" w:cs="宋体"/>
                <w:color w:val="auto"/>
                <w:sz w:val="24"/>
                <w:szCs w:val="24"/>
              </w:rPr>
              <w:t>名称</w:t>
            </w:r>
          </w:p>
        </w:tc>
        <w:tc>
          <w:tcPr>
            <w:tcW w:w="1079" w:type="pct"/>
            <w:shd w:val="clear" w:color="auto" w:fill="auto"/>
            <w:vAlign w:val="center"/>
          </w:tcPr>
          <w:p w14:paraId="16B328CB">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规格/型号</w:t>
            </w:r>
          </w:p>
        </w:tc>
        <w:tc>
          <w:tcPr>
            <w:tcW w:w="863" w:type="pct"/>
            <w:shd w:val="clear" w:color="auto" w:fill="auto"/>
            <w:vAlign w:val="center"/>
          </w:tcPr>
          <w:p w14:paraId="2A62EC03">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品牌</w:t>
            </w:r>
          </w:p>
        </w:tc>
        <w:tc>
          <w:tcPr>
            <w:tcW w:w="432" w:type="pct"/>
            <w:shd w:val="clear" w:color="auto" w:fill="auto"/>
            <w:vAlign w:val="center"/>
          </w:tcPr>
          <w:p w14:paraId="1C66AEBA">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单位</w:t>
            </w:r>
          </w:p>
        </w:tc>
        <w:tc>
          <w:tcPr>
            <w:tcW w:w="1061" w:type="pct"/>
            <w:shd w:val="clear" w:color="auto" w:fill="auto"/>
            <w:vAlign w:val="center"/>
          </w:tcPr>
          <w:p w14:paraId="0FA58A15">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含税单价</w:t>
            </w:r>
          </w:p>
          <w:p w14:paraId="4C09F9D9">
            <w:pPr>
              <w:spacing w:line="520" w:lineRule="exact"/>
              <w:jc w:val="center"/>
              <w:rPr>
                <w:rFonts w:ascii="仿宋" w:hAnsi="仿宋" w:eastAsia="仿宋" w:cs="宋体"/>
                <w:color w:val="auto"/>
                <w:sz w:val="24"/>
                <w:szCs w:val="24"/>
              </w:rPr>
            </w:pPr>
            <w:r>
              <w:rPr>
                <w:rFonts w:hint="eastAsia" w:ascii="仿宋" w:hAnsi="仿宋" w:eastAsia="仿宋" w:cs="宋体"/>
                <w:color w:val="auto"/>
                <w:sz w:val="24"/>
                <w:szCs w:val="24"/>
              </w:rPr>
              <w:t>（元）</w:t>
            </w:r>
          </w:p>
        </w:tc>
      </w:tr>
      <w:tr w14:paraId="45760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415" w:type="pct"/>
            <w:shd w:val="clear" w:color="auto" w:fill="auto"/>
            <w:vAlign w:val="center"/>
          </w:tcPr>
          <w:p w14:paraId="102ECEF1">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1</w:t>
            </w:r>
          </w:p>
        </w:tc>
        <w:tc>
          <w:tcPr>
            <w:tcW w:w="1150" w:type="pct"/>
            <w:shd w:val="clear" w:color="auto" w:fill="auto"/>
            <w:vAlign w:val="center"/>
          </w:tcPr>
          <w:p w14:paraId="78A7D0CA">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多线盘手动控制器</w:t>
            </w:r>
          </w:p>
        </w:tc>
        <w:tc>
          <w:tcPr>
            <w:tcW w:w="1079" w:type="pct"/>
            <w:shd w:val="clear" w:color="auto" w:fill="auto"/>
            <w:vAlign w:val="center"/>
          </w:tcPr>
          <w:p w14:paraId="5ECB9A22">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JBF-11S/CDB</w:t>
            </w:r>
          </w:p>
        </w:tc>
        <w:tc>
          <w:tcPr>
            <w:tcW w:w="863" w:type="pct"/>
            <w:shd w:val="clear" w:color="auto" w:fill="auto"/>
            <w:vAlign w:val="center"/>
          </w:tcPr>
          <w:p w14:paraId="2A4F24F3">
            <w:pPr>
              <w:spacing w:line="520" w:lineRule="exact"/>
              <w:jc w:val="center"/>
              <w:rPr>
                <w:rFonts w:ascii="仿宋" w:hAnsi="仿宋" w:eastAsia="仿宋" w:cs="宋体"/>
                <w:color w:val="auto"/>
                <w:sz w:val="24"/>
                <w:szCs w:val="24"/>
              </w:rPr>
            </w:pPr>
            <w:r>
              <w:rPr>
                <w:rFonts w:hint="eastAsia" w:ascii="仿宋" w:hAnsi="仿宋" w:eastAsia="仿宋" w:cs="宋体"/>
                <w:color w:val="auto"/>
                <w:sz w:val="24"/>
                <w:szCs w:val="24"/>
              </w:rPr>
              <w:t>泛海三江</w:t>
            </w:r>
          </w:p>
        </w:tc>
        <w:tc>
          <w:tcPr>
            <w:tcW w:w="432" w:type="pct"/>
            <w:shd w:val="clear" w:color="auto" w:fill="auto"/>
            <w:vAlign w:val="center"/>
          </w:tcPr>
          <w:p w14:paraId="13BB0BDC">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个</w:t>
            </w:r>
          </w:p>
        </w:tc>
        <w:tc>
          <w:tcPr>
            <w:tcW w:w="1061" w:type="pct"/>
            <w:shd w:val="clear" w:color="auto" w:fill="auto"/>
            <w:vAlign w:val="center"/>
          </w:tcPr>
          <w:p w14:paraId="4BFDDBB0">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1413.00</w:t>
            </w:r>
          </w:p>
        </w:tc>
      </w:tr>
      <w:tr w14:paraId="39907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415" w:type="pct"/>
            <w:shd w:val="clear" w:color="auto" w:fill="auto"/>
            <w:vAlign w:val="center"/>
          </w:tcPr>
          <w:p w14:paraId="5D959815">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2</w:t>
            </w:r>
          </w:p>
        </w:tc>
        <w:tc>
          <w:tcPr>
            <w:tcW w:w="1150" w:type="pct"/>
            <w:shd w:val="clear" w:color="auto" w:fill="auto"/>
            <w:vAlign w:val="center"/>
          </w:tcPr>
          <w:p w14:paraId="0AB53429">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总线控制盘</w:t>
            </w:r>
          </w:p>
        </w:tc>
        <w:tc>
          <w:tcPr>
            <w:tcW w:w="1079" w:type="pct"/>
            <w:shd w:val="clear" w:color="auto" w:fill="auto"/>
            <w:vAlign w:val="center"/>
          </w:tcPr>
          <w:p w14:paraId="2738F250">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JBF-11S/CDB</w:t>
            </w:r>
          </w:p>
        </w:tc>
        <w:tc>
          <w:tcPr>
            <w:tcW w:w="863" w:type="pct"/>
            <w:shd w:val="clear" w:color="auto" w:fill="auto"/>
            <w:vAlign w:val="center"/>
          </w:tcPr>
          <w:p w14:paraId="169808C3">
            <w:pPr>
              <w:jc w:val="center"/>
              <w:rPr>
                <w:rFonts w:ascii="仿宋" w:hAnsi="仿宋" w:eastAsia="仿宋" w:cs="宋体"/>
                <w:color w:val="auto"/>
                <w:sz w:val="24"/>
                <w:szCs w:val="24"/>
              </w:rPr>
            </w:pPr>
            <w:r>
              <w:rPr>
                <w:rFonts w:hint="eastAsia" w:ascii="仿宋" w:hAnsi="仿宋" w:eastAsia="仿宋" w:cs="宋体"/>
                <w:color w:val="auto"/>
                <w:sz w:val="24"/>
                <w:szCs w:val="24"/>
              </w:rPr>
              <w:t>泛海三江</w:t>
            </w:r>
          </w:p>
        </w:tc>
        <w:tc>
          <w:tcPr>
            <w:tcW w:w="432" w:type="pct"/>
            <w:shd w:val="clear" w:color="auto" w:fill="auto"/>
            <w:vAlign w:val="center"/>
          </w:tcPr>
          <w:p w14:paraId="337B244A">
            <w:pPr>
              <w:jc w:val="center"/>
              <w:rPr>
                <w:rFonts w:ascii="仿宋" w:hAnsi="仿宋" w:eastAsia="仿宋" w:cs="宋体"/>
                <w:color w:val="auto"/>
                <w:sz w:val="24"/>
                <w:szCs w:val="24"/>
              </w:rPr>
            </w:pPr>
            <w:r>
              <w:rPr>
                <w:rFonts w:ascii="仿宋" w:hAnsi="仿宋" w:eastAsia="仿宋" w:cs="宋体"/>
                <w:color w:val="auto"/>
                <w:sz w:val="24"/>
                <w:szCs w:val="24"/>
              </w:rPr>
              <w:t>个</w:t>
            </w:r>
          </w:p>
        </w:tc>
        <w:tc>
          <w:tcPr>
            <w:tcW w:w="1061" w:type="pct"/>
            <w:shd w:val="clear" w:color="auto" w:fill="auto"/>
            <w:vAlign w:val="center"/>
          </w:tcPr>
          <w:p w14:paraId="50907594">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608.00</w:t>
            </w:r>
          </w:p>
        </w:tc>
      </w:tr>
      <w:tr w14:paraId="717A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415" w:type="pct"/>
            <w:shd w:val="clear" w:color="auto" w:fill="auto"/>
            <w:vAlign w:val="center"/>
          </w:tcPr>
          <w:p w14:paraId="6E3F57C8">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3</w:t>
            </w:r>
          </w:p>
        </w:tc>
        <w:tc>
          <w:tcPr>
            <w:tcW w:w="1150" w:type="pct"/>
            <w:shd w:val="clear" w:color="auto" w:fill="auto"/>
            <w:vAlign w:val="center"/>
          </w:tcPr>
          <w:p w14:paraId="351495B9">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备用电源</w:t>
            </w:r>
          </w:p>
        </w:tc>
        <w:tc>
          <w:tcPr>
            <w:tcW w:w="1079" w:type="pct"/>
            <w:shd w:val="clear" w:color="auto" w:fill="auto"/>
            <w:vAlign w:val="center"/>
          </w:tcPr>
          <w:p w14:paraId="0D703ABD">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JBF-11S/PA20</w:t>
            </w:r>
          </w:p>
        </w:tc>
        <w:tc>
          <w:tcPr>
            <w:tcW w:w="863" w:type="pct"/>
            <w:shd w:val="clear" w:color="auto" w:fill="auto"/>
            <w:vAlign w:val="center"/>
          </w:tcPr>
          <w:p w14:paraId="5E5BD931">
            <w:pPr>
              <w:jc w:val="center"/>
              <w:rPr>
                <w:rFonts w:ascii="仿宋" w:hAnsi="仿宋" w:eastAsia="仿宋" w:cs="宋体"/>
                <w:color w:val="auto"/>
                <w:sz w:val="24"/>
                <w:szCs w:val="24"/>
              </w:rPr>
            </w:pPr>
            <w:r>
              <w:rPr>
                <w:rFonts w:hint="eastAsia" w:ascii="仿宋" w:hAnsi="仿宋" w:eastAsia="仿宋" w:cs="宋体"/>
                <w:color w:val="auto"/>
                <w:sz w:val="24"/>
                <w:szCs w:val="24"/>
              </w:rPr>
              <w:t>泛海三江</w:t>
            </w:r>
          </w:p>
        </w:tc>
        <w:tc>
          <w:tcPr>
            <w:tcW w:w="432" w:type="pct"/>
            <w:shd w:val="clear" w:color="auto" w:fill="auto"/>
            <w:vAlign w:val="center"/>
          </w:tcPr>
          <w:p w14:paraId="3EC2B4D0">
            <w:pPr>
              <w:jc w:val="center"/>
              <w:rPr>
                <w:rFonts w:ascii="仿宋" w:hAnsi="仿宋" w:eastAsia="仿宋" w:cs="宋体"/>
                <w:color w:val="auto"/>
                <w:sz w:val="24"/>
                <w:szCs w:val="24"/>
              </w:rPr>
            </w:pPr>
            <w:r>
              <w:rPr>
                <w:rFonts w:ascii="仿宋" w:hAnsi="仿宋" w:eastAsia="仿宋" w:cs="宋体"/>
                <w:color w:val="auto"/>
                <w:sz w:val="24"/>
                <w:szCs w:val="24"/>
              </w:rPr>
              <w:t>个</w:t>
            </w:r>
          </w:p>
        </w:tc>
        <w:tc>
          <w:tcPr>
            <w:tcW w:w="1061" w:type="pct"/>
            <w:shd w:val="clear" w:color="auto" w:fill="auto"/>
            <w:vAlign w:val="center"/>
          </w:tcPr>
          <w:p w14:paraId="1F4593F8">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2000.00</w:t>
            </w:r>
          </w:p>
        </w:tc>
      </w:tr>
      <w:tr w14:paraId="7823A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415" w:type="pct"/>
            <w:shd w:val="clear" w:color="auto" w:fill="auto"/>
            <w:vAlign w:val="center"/>
          </w:tcPr>
          <w:p w14:paraId="54E73FC9">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4</w:t>
            </w:r>
          </w:p>
        </w:tc>
        <w:tc>
          <w:tcPr>
            <w:tcW w:w="1150" w:type="pct"/>
            <w:shd w:val="clear" w:color="auto" w:fill="auto"/>
            <w:vAlign w:val="center"/>
          </w:tcPr>
          <w:p w14:paraId="4300FC2C">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中继模块</w:t>
            </w:r>
          </w:p>
        </w:tc>
        <w:tc>
          <w:tcPr>
            <w:tcW w:w="1079" w:type="pct"/>
            <w:shd w:val="clear" w:color="auto" w:fill="auto"/>
            <w:vAlign w:val="center"/>
          </w:tcPr>
          <w:p w14:paraId="3DF33881">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DZ-952</w:t>
            </w:r>
          </w:p>
        </w:tc>
        <w:tc>
          <w:tcPr>
            <w:tcW w:w="863" w:type="pct"/>
            <w:shd w:val="clear" w:color="auto" w:fill="auto"/>
            <w:vAlign w:val="center"/>
          </w:tcPr>
          <w:p w14:paraId="4AA0AF2F">
            <w:pPr>
              <w:jc w:val="center"/>
              <w:rPr>
                <w:rFonts w:ascii="仿宋" w:hAnsi="仿宋" w:eastAsia="仿宋" w:cs="宋体"/>
                <w:color w:val="auto"/>
                <w:sz w:val="24"/>
                <w:szCs w:val="24"/>
              </w:rPr>
            </w:pPr>
            <w:r>
              <w:rPr>
                <w:rFonts w:hint="eastAsia" w:ascii="仿宋" w:hAnsi="仿宋" w:eastAsia="仿宋" w:cs="宋体"/>
                <w:color w:val="auto"/>
                <w:sz w:val="24"/>
                <w:szCs w:val="24"/>
              </w:rPr>
              <w:t>泛海三江</w:t>
            </w:r>
          </w:p>
        </w:tc>
        <w:tc>
          <w:tcPr>
            <w:tcW w:w="432" w:type="pct"/>
            <w:shd w:val="clear" w:color="auto" w:fill="auto"/>
            <w:vAlign w:val="center"/>
          </w:tcPr>
          <w:p w14:paraId="340C3B28">
            <w:pPr>
              <w:jc w:val="center"/>
              <w:rPr>
                <w:rFonts w:ascii="仿宋" w:hAnsi="仿宋" w:eastAsia="仿宋" w:cs="宋体"/>
                <w:color w:val="auto"/>
                <w:sz w:val="24"/>
                <w:szCs w:val="24"/>
              </w:rPr>
            </w:pPr>
            <w:r>
              <w:rPr>
                <w:rFonts w:ascii="仿宋" w:hAnsi="仿宋" w:eastAsia="仿宋" w:cs="宋体"/>
                <w:color w:val="auto"/>
                <w:sz w:val="24"/>
                <w:szCs w:val="24"/>
              </w:rPr>
              <w:t>个</w:t>
            </w:r>
          </w:p>
        </w:tc>
        <w:tc>
          <w:tcPr>
            <w:tcW w:w="1061" w:type="pct"/>
            <w:shd w:val="clear" w:color="auto" w:fill="auto"/>
            <w:vAlign w:val="center"/>
          </w:tcPr>
          <w:p w14:paraId="2DFBB49C">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523.00</w:t>
            </w:r>
          </w:p>
        </w:tc>
      </w:tr>
      <w:tr w14:paraId="2070D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415" w:type="pct"/>
            <w:shd w:val="clear" w:color="auto" w:fill="auto"/>
            <w:vAlign w:val="center"/>
          </w:tcPr>
          <w:p w14:paraId="7243D958">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5</w:t>
            </w:r>
          </w:p>
        </w:tc>
        <w:tc>
          <w:tcPr>
            <w:tcW w:w="1150" w:type="pct"/>
            <w:shd w:val="clear" w:color="auto" w:fill="auto"/>
            <w:vAlign w:val="center"/>
          </w:tcPr>
          <w:p w14:paraId="37402B69">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气体灭火控制器</w:t>
            </w:r>
          </w:p>
        </w:tc>
        <w:tc>
          <w:tcPr>
            <w:tcW w:w="1079" w:type="pct"/>
            <w:shd w:val="clear" w:color="auto" w:fill="auto"/>
            <w:vAlign w:val="center"/>
          </w:tcPr>
          <w:p w14:paraId="4E45EE00">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JD-QB1-QM300/4</w:t>
            </w:r>
          </w:p>
        </w:tc>
        <w:tc>
          <w:tcPr>
            <w:tcW w:w="863" w:type="pct"/>
            <w:shd w:val="clear" w:color="auto" w:fill="auto"/>
            <w:vAlign w:val="center"/>
          </w:tcPr>
          <w:p w14:paraId="16B4EE02">
            <w:pPr>
              <w:jc w:val="center"/>
              <w:rPr>
                <w:rFonts w:ascii="仿宋" w:hAnsi="仿宋" w:eastAsia="仿宋" w:cs="宋体"/>
                <w:color w:val="auto"/>
                <w:sz w:val="24"/>
                <w:szCs w:val="24"/>
              </w:rPr>
            </w:pPr>
            <w:r>
              <w:rPr>
                <w:rFonts w:hint="eastAsia" w:ascii="仿宋" w:hAnsi="仿宋" w:eastAsia="仿宋" w:cs="宋体"/>
                <w:color w:val="auto"/>
                <w:sz w:val="24"/>
                <w:szCs w:val="24"/>
              </w:rPr>
              <w:t>泛海三江</w:t>
            </w:r>
          </w:p>
        </w:tc>
        <w:tc>
          <w:tcPr>
            <w:tcW w:w="432" w:type="pct"/>
            <w:shd w:val="clear" w:color="auto" w:fill="auto"/>
            <w:vAlign w:val="center"/>
          </w:tcPr>
          <w:p w14:paraId="5EC4AF81">
            <w:pPr>
              <w:jc w:val="center"/>
              <w:rPr>
                <w:rFonts w:ascii="仿宋" w:hAnsi="仿宋" w:eastAsia="仿宋" w:cs="宋体"/>
                <w:color w:val="auto"/>
                <w:sz w:val="24"/>
                <w:szCs w:val="24"/>
              </w:rPr>
            </w:pPr>
            <w:r>
              <w:rPr>
                <w:rFonts w:ascii="仿宋" w:hAnsi="仿宋" w:eastAsia="仿宋" w:cs="宋体"/>
                <w:color w:val="auto"/>
                <w:sz w:val="24"/>
                <w:szCs w:val="24"/>
              </w:rPr>
              <w:t>个</w:t>
            </w:r>
          </w:p>
        </w:tc>
        <w:tc>
          <w:tcPr>
            <w:tcW w:w="1061" w:type="pct"/>
            <w:shd w:val="clear" w:color="auto" w:fill="auto"/>
            <w:vAlign w:val="center"/>
          </w:tcPr>
          <w:p w14:paraId="4D99F081">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3360.00</w:t>
            </w:r>
          </w:p>
        </w:tc>
      </w:tr>
      <w:tr w14:paraId="0C3AF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415" w:type="pct"/>
            <w:shd w:val="clear" w:color="auto" w:fill="auto"/>
            <w:vAlign w:val="center"/>
          </w:tcPr>
          <w:p w14:paraId="2230CBFC">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6</w:t>
            </w:r>
          </w:p>
        </w:tc>
        <w:tc>
          <w:tcPr>
            <w:tcW w:w="1150" w:type="pct"/>
            <w:shd w:val="clear" w:color="auto" w:fill="auto"/>
            <w:vAlign w:val="center"/>
          </w:tcPr>
          <w:p w14:paraId="578D6F38">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气体释放警示牌</w:t>
            </w:r>
          </w:p>
        </w:tc>
        <w:tc>
          <w:tcPr>
            <w:tcW w:w="1079" w:type="pct"/>
            <w:shd w:val="clear" w:color="auto" w:fill="auto"/>
            <w:vAlign w:val="center"/>
          </w:tcPr>
          <w:p w14:paraId="6BC82D70">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QM-ZSD-01</w:t>
            </w:r>
          </w:p>
        </w:tc>
        <w:tc>
          <w:tcPr>
            <w:tcW w:w="863" w:type="pct"/>
            <w:shd w:val="clear" w:color="auto" w:fill="auto"/>
            <w:vAlign w:val="center"/>
          </w:tcPr>
          <w:p w14:paraId="4E50EB77">
            <w:pPr>
              <w:jc w:val="center"/>
              <w:rPr>
                <w:rFonts w:ascii="仿宋" w:hAnsi="仿宋" w:eastAsia="仿宋" w:cs="宋体"/>
                <w:color w:val="auto"/>
                <w:sz w:val="24"/>
                <w:szCs w:val="24"/>
              </w:rPr>
            </w:pPr>
            <w:r>
              <w:rPr>
                <w:rFonts w:hint="eastAsia" w:ascii="仿宋" w:hAnsi="仿宋" w:eastAsia="仿宋" w:cs="宋体"/>
                <w:color w:val="auto"/>
                <w:sz w:val="24"/>
                <w:szCs w:val="24"/>
              </w:rPr>
              <w:t>泛海三江</w:t>
            </w:r>
          </w:p>
        </w:tc>
        <w:tc>
          <w:tcPr>
            <w:tcW w:w="432" w:type="pct"/>
            <w:shd w:val="clear" w:color="auto" w:fill="auto"/>
            <w:vAlign w:val="center"/>
          </w:tcPr>
          <w:p w14:paraId="49E994AD">
            <w:pPr>
              <w:jc w:val="center"/>
              <w:rPr>
                <w:rFonts w:ascii="仿宋" w:hAnsi="仿宋" w:eastAsia="仿宋" w:cs="宋体"/>
                <w:color w:val="auto"/>
                <w:sz w:val="24"/>
                <w:szCs w:val="24"/>
              </w:rPr>
            </w:pPr>
            <w:r>
              <w:rPr>
                <w:rFonts w:ascii="仿宋" w:hAnsi="仿宋" w:eastAsia="仿宋" w:cs="宋体"/>
                <w:color w:val="auto"/>
                <w:sz w:val="24"/>
                <w:szCs w:val="24"/>
              </w:rPr>
              <w:t>个</w:t>
            </w:r>
          </w:p>
        </w:tc>
        <w:tc>
          <w:tcPr>
            <w:tcW w:w="1061" w:type="pct"/>
            <w:shd w:val="clear" w:color="auto" w:fill="auto"/>
            <w:vAlign w:val="center"/>
          </w:tcPr>
          <w:p w14:paraId="7265DA9F">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304.00</w:t>
            </w:r>
          </w:p>
        </w:tc>
      </w:tr>
      <w:tr w14:paraId="40F84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415" w:type="pct"/>
            <w:shd w:val="clear" w:color="auto" w:fill="auto"/>
            <w:vAlign w:val="center"/>
          </w:tcPr>
          <w:p w14:paraId="185669FB">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7</w:t>
            </w:r>
          </w:p>
        </w:tc>
        <w:tc>
          <w:tcPr>
            <w:tcW w:w="1150" w:type="pct"/>
            <w:shd w:val="clear" w:color="auto" w:fill="auto"/>
            <w:vAlign w:val="center"/>
          </w:tcPr>
          <w:p w14:paraId="1B6EF9B7">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信号蝶阀</w:t>
            </w:r>
          </w:p>
        </w:tc>
        <w:tc>
          <w:tcPr>
            <w:tcW w:w="1079" w:type="pct"/>
            <w:shd w:val="clear" w:color="auto" w:fill="auto"/>
            <w:vAlign w:val="center"/>
          </w:tcPr>
          <w:p w14:paraId="7138C8B0">
            <w:pPr>
              <w:spacing w:line="520" w:lineRule="exact"/>
              <w:jc w:val="center"/>
              <w:rPr>
                <w:rFonts w:ascii="仿宋" w:hAnsi="仿宋" w:eastAsia="仿宋" w:cs="宋体"/>
                <w:color w:val="auto"/>
                <w:sz w:val="24"/>
                <w:szCs w:val="24"/>
              </w:rPr>
            </w:pPr>
          </w:p>
        </w:tc>
        <w:tc>
          <w:tcPr>
            <w:tcW w:w="863" w:type="pct"/>
            <w:shd w:val="clear" w:color="auto" w:fill="auto"/>
            <w:vAlign w:val="center"/>
          </w:tcPr>
          <w:p w14:paraId="3C365D76">
            <w:pPr>
              <w:jc w:val="center"/>
              <w:rPr>
                <w:rFonts w:ascii="仿宋" w:hAnsi="仿宋" w:eastAsia="仿宋" w:cs="宋体"/>
                <w:color w:val="auto"/>
                <w:sz w:val="24"/>
                <w:szCs w:val="24"/>
              </w:rPr>
            </w:pPr>
            <w:r>
              <w:rPr>
                <w:rFonts w:ascii="仿宋" w:hAnsi="仿宋" w:eastAsia="仿宋" w:cs="宋体"/>
                <w:color w:val="auto"/>
                <w:sz w:val="24"/>
                <w:szCs w:val="24"/>
              </w:rPr>
              <w:t>塘洁</w:t>
            </w:r>
            <w:r>
              <w:rPr>
                <w:rFonts w:hint="eastAsia" w:ascii="仿宋" w:hAnsi="仿宋" w:eastAsia="仿宋" w:cs="宋体"/>
                <w:color w:val="auto"/>
                <w:sz w:val="24"/>
                <w:szCs w:val="24"/>
              </w:rPr>
              <w:t>、</w:t>
            </w:r>
            <w:r>
              <w:rPr>
                <w:rFonts w:ascii="仿宋" w:hAnsi="仿宋" w:eastAsia="仿宋" w:cs="宋体"/>
                <w:color w:val="auto"/>
                <w:sz w:val="24"/>
                <w:szCs w:val="24"/>
              </w:rPr>
              <w:t>大战</w:t>
            </w:r>
          </w:p>
        </w:tc>
        <w:tc>
          <w:tcPr>
            <w:tcW w:w="432" w:type="pct"/>
            <w:shd w:val="clear" w:color="auto" w:fill="auto"/>
            <w:vAlign w:val="center"/>
          </w:tcPr>
          <w:p w14:paraId="66C2EE87">
            <w:pPr>
              <w:jc w:val="center"/>
              <w:rPr>
                <w:rFonts w:ascii="仿宋" w:hAnsi="仿宋" w:eastAsia="仿宋" w:cs="宋体"/>
                <w:color w:val="auto"/>
                <w:sz w:val="24"/>
                <w:szCs w:val="24"/>
              </w:rPr>
            </w:pPr>
            <w:r>
              <w:rPr>
                <w:rFonts w:ascii="仿宋" w:hAnsi="仿宋" w:eastAsia="仿宋" w:cs="宋体"/>
                <w:color w:val="auto"/>
                <w:sz w:val="24"/>
                <w:szCs w:val="24"/>
              </w:rPr>
              <w:t>个</w:t>
            </w:r>
          </w:p>
        </w:tc>
        <w:tc>
          <w:tcPr>
            <w:tcW w:w="1061" w:type="pct"/>
            <w:shd w:val="clear" w:color="auto" w:fill="auto"/>
            <w:vAlign w:val="center"/>
          </w:tcPr>
          <w:p w14:paraId="33E7E5EA">
            <w:pPr>
              <w:spacing w:line="520" w:lineRule="exact"/>
              <w:jc w:val="center"/>
              <w:rPr>
                <w:rFonts w:ascii="仿宋" w:hAnsi="仿宋" w:eastAsia="仿宋" w:cs="宋体"/>
                <w:color w:val="auto"/>
                <w:sz w:val="24"/>
                <w:szCs w:val="24"/>
              </w:rPr>
            </w:pPr>
            <w:r>
              <w:rPr>
                <w:rFonts w:ascii="仿宋" w:hAnsi="仿宋" w:eastAsia="仿宋" w:cs="宋体"/>
                <w:color w:val="auto"/>
                <w:sz w:val="24"/>
                <w:szCs w:val="24"/>
              </w:rPr>
              <w:t>980.00</w:t>
            </w:r>
          </w:p>
        </w:tc>
      </w:tr>
    </w:tbl>
    <w:p w14:paraId="48D10B8A">
      <w:pPr>
        <w:spacing w:line="520" w:lineRule="exact"/>
        <w:rPr>
          <w:rFonts w:ascii="仿宋" w:hAnsi="仿宋" w:eastAsia="仿宋" w:cs="宋体"/>
          <w:color w:val="auto"/>
          <w:sz w:val="30"/>
          <w:szCs w:val="30"/>
        </w:rPr>
      </w:pPr>
      <w:r>
        <w:rPr>
          <w:rFonts w:hint="eastAsia" w:ascii="仿宋" w:hAnsi="仿宋" w:eastAsia="仿宋" w:cs="宋体"/>
          <w:color w:val="auto"/>
          <w:sz w:val="30"/>
          <w:szCs w:val="30"/>
        </w:rPr>
        <w:br w:type="page"/>
      </w:r>
    </w:p>
    <w:p w14:paraId="7C0C9717">
      <w:pPr>
        <w:snapToGrid w:val="0"/>
        <w:spacing w:before="240" w:after="240" w:line="520" w:lineRule="exact"/>
        <w:rPr>
          <w:rFonts w:ascii="仿宋" w:hAnsi="仿宋" w:eastAsia="仿宋"/>
          <w:b/>
          <w:bCs/>
          <w:color w:val="auto"/>
          <w:sz w:val="30"/>
          <w:szCs w:val="30"/>
        </w:rPr>
      </w:pPr>
      <w:r>
        <w:rPr>
          <w:rFonts w:hint="eastAsia" w:ascii="仿宋" w:hAnsi="仿宋" w:eastAsia="仿宋"/>
          <w:b/>
          <w:bCs/>
          <w:color w:val="auto"/>
          <w:sz w:val="30"/>
          <w:szCs w:val="30"/>
        </w:rPr>
        <w:t>附件六：季度履约评价表</w:t>
      </w:r>
    </w:p>
    <w:p w14:paraId="6D058835">
      <w:pPr>
        <w:jc w:val="center"/>
        <w:rPr>
          <w:rFonts w:ascii="仿宋_GB2312" w:hAnsi="华文细黑" w:eastAsia="仿宋_GB2312"/>
          <w:b/>
          <w:color w:val="auto"/>
          <w:sz w:val="32"/>
        </w:rPr>
      </w:pPr>
      <w:r>
        <w:rPr>
          <w:rFonts w:hint="eastAsia" w:ascii="仿宋_GB2312" w:hAnsi="华文细黑" w:eastAsia="仿宋_GB2312"/>
          <w:b/>
          <w:color w:val="auto"/>
          <w:sz w:val="32"/>
        </w:rPr>
        <w:t>中马广场项目消防系统维保履约评价表</w:t>
      </w:r>
    </w:p>
    <w:p w14:paraId="1AAEDAC9">
      <w:pPr>
        <w:rPr>
          <w:rFonts w:ascii="仿宋_GB2312" w:eastAsia="仿宋_GB2312"/>
          <w:color w:val="auto"/>
        </w:rPr>
      </w:pPr>
      <w:r>
        <w:rPr>
          <w:rFonts w:hint="eastAsia" w:ascii="仿宋_GB2312" w:eastAsia="仿宋_GB2312"/>
          <w:color w:val="auto"/>
        </w:rPr>
        <w:t xml:space="preserve">评价项目：                                                </w:t>
      </w:r>
      <w:r>
        <w:rPr>
          <w:rFonts w:hint="eastAsia" w:ascii="仿宋_GB2312" w:hAnsi="华文细黑" w:eastAsia="仿宋_GB2312"/>
          <w:color w:val="auto"/>
        </w:rPr>
        <w:t>专业分类：</w:t>
      </w:r>
    </w:p>
    <w:tbl>
      <w:tblPr>
        <w:tblStyle w:val="10"/>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365"/>
        <w:gridCol w:w="2840"/>
        <w:gridCol w:w="1151"/>
        <w:gridCol w:w="2120"/>
        <w:gridCol w:w="1418"/>
      </w:tblGrid>
      <w:tr w14:paraId="74682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29" w:type="dxa"/>
            <w:gridSpan w:val="6"/>
            <w:vAlign w:val="center"/>
          </w:tcPr>
          <w:p w14:paraId="57D0AECC">
            <w:pPr>
              <w:rPr>
                <w:rFonts w:ascii="仿宋_GB2312" w:hAnsi="华文细黑" w:eastAsia="仿宋_GB2312"/>
                <w:color w:val="auto"/>
                <w:u w:val="single"/>
              </w:rPr>
            </w:pPr>
            <w:r>
              <w:rPr>
                <w:rFonts w:hint="eastAsia" w:ascii="仿宋_GB2312" w:hAnsi="华文细黑" w:eastAsia="仿宋_GB2312"/>
                <w:color w:val="auto"/>
              </w:rPr>
              <w:t xml:space="preserve">供方名称：                                       </w:t>
            </w:r>
          </w:p>
        </w:tc>
      </w:tr>
      <w:tr w14:paraId="48611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29" w:type="dxa"/>
            <w:gridSpan w:val="6"/>
            <w:vAlign w:val="center"/>
          </w:tcPr>
          <w:p w14:paraId="7EA3BA69">
            <w:pPr>
              <w:rPr>
                <w:rFonts w:ascii="仿宋_GB2312" w:hAnsi="华文细黑" w:eastAsia="仿宋_GB2312"/>
                <w:color w:val="auto"/>
              </w:rPr>
            </w:pPr>
            <w:r>
              <w:rPr>
                <w:rFonts w:hint="eastAsia" w:ascii="仿宋_GB2312" w:hAnsi="华文细黑" w:eastAsia="仿宋_GB2312"/>
                <w:color w:val="auto"/>
              </w:rPr>
              <w:t>评价类型：</w:t>
            </w:r>
            <w:r>
              <w:rPr>
                <w:rFonts w:hint="eastAsia" w:ascii="仿宋_GB2312" w:hAnsi="华文细黑" w:eastAsia="仿宋_GB2312"/>
                <w:color w:val="auto"/>
              </w:rPr>
              <w:fldChar w:fldCharType="begin">
                <w:ffData>
                  <w:name w:val="Check2"/>
                  <w:enabled/>
                  <w:calcOnExit w:val="0"/>
                  <w:checkBox>
                    <w:sizeAuto/>
                    <w:default w:val="0"/>
                    <w:checked w:val="0"/>
                  </w:checkBox>
                </w:ffData>
              </w:fldChar>
            </w:r>
            <w:r>
              <w:rPr>
                <w:rFonts w:hint="eastAsia" w:ascii="仿宋_GB2312" w:hAnsi="华文细黑" w:eastAsia="仿宋_GB2312"/>
                <w:color w:val="auto"/>
              </w:rPr>
              <w:instrText xml:space="preserve">FORMCHECKBOX</w:instrText>
            </w:r>
            <w:r>
              <w:rPr>
                <w:rFonts w:ascii="仿宋_GB2312" w:hAnsi="华文细黑" w:eastAsia="仿宋_GB2312"/>
                <w:color w:val="auto"/>
              </w:rPr>
              <w:fldChar w:fldCharType="separate"/>
            </w:r>
            <w:r>
              <w:rPr>
                <w:rFonts w:hint="eastAsia" w:ascii="仿宋_GB2312" w:hAnsi="华文细黑" w:eastAsia="仿宋_GB2312"/>
                <w:color w:val="auto"/>
              </w:rPr>
              <w:fldChar w:fldCharType="end"/>
            </w:r>
            <w:r>
              <w:rPr>
                <w:rFonts w:hint="eastAsia" w:ascii="仿宋_GB2312" w:hAnsi="华文细黑" w:eastAsia="仿宋_GB2312"/>
                <w:color w:val="auto"/>
              </w:rPr>
              <w:t xml:space="preserve">日常过程履约评价  </w:t>
            </w:r>
            <w:r>
              <w:rPr>
                <w:rFonts w:hint="eastAsia" w:ascii="仿宋_GB2312" w:hAnsi="华文细黑" w:eastAsia="仿宋_GB2312"/>
                <w:color w:val="auto"/>
              </w:rPr>
              <w:fldChar w:fldCharType="begin">
                <w:ffData>
                  <w:name w:val="Check2"/>
                  <w:enabled/>
                  <w:calcOnExit w:val="0"/>
                  <w:checkBox>
                    <w:sizeAuto/>
                    <w:default w:val="0"/>
                    <w:checked w:val="0"/>
                  </w:checkBox>
                </w:ffData>
              </w:fldChar>
            </w:r>
            <w:r>
              <w:rPr>
                <w:rFonts w:hint="eastAsia" w:ascii="仿宋_GB2312" w:hAnsi="华文细黑" w:eastAsia="仿宋_GB2312"/>
                <w:color w:val="auto"/>
              </w:rPr>
              <w:instrText xml:space="preserve">FORMCHECKBOX</w:instrText>
            </w:r>
            <w:r>
              <w:rPr>
                <w:rFonts w:ascii="仿宋_GB2312" w:hAnsi="华文细黑" w:eastAsia="仿宋_GB2312"/>
                <w:color w:val="auto"/>
              </w:rPr>
              <w:fldChar w:fldCharType="separate"/>
            </w:r>
            <w:r>
              <w:rPr>
                <w:rFonts w:hint="eastAsia" w:ascii="仿宋_GB2312" w:hAnsi="华文细黑" w:eastAsia="仿宋_GB2312"/>
                <w:color w:val="auto"/>
              </w:rPr>
              <w:fldChar w:fldCharType="end"/>
            </w:r>
            <w:r>
              <w:rPr>
                <w:rFonts w:hint="eastAsia" w:ascii="仿宋_GB2312" w:hAnsi="华文细黑" w:eastAsia="仿宋_GB2312"/>
                <w:color w:val="auto"/>
              </w:rPr>
              <w:t>单项履约评价</w:t>
            </w:r>
          </w:p>
        </w:tc>
      </w:tr>
      <w:tr w14:paraId="3BCC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29" w:type="dxa"/>
            <w:gridSpan w:val="6"/>
            <w:vAlign w:val="center"/>
          </w:tcPr>
          <w:p w14:paraId="641F0DCC">
            <w:pPr>
              <w:rPr>
                <w:rFonts w:ascii="仿宋_GB2312" w:hAnsi="华文细黑" w:eastAsia="仿宋_GB2312"/>
                <w:color w:val="auto"/>
              </w:rPr>
            </w:pPr>
            <w:r>
              <w:rPr>
                <w:rFonts w:hint="eastAsia" w:ascii="仿宋_GB2312" w:hAnsi="华文细黑" w:eastAsia="仿宋_GB2312"/>
                <w:color w:val="auto"/>
              </w:rPr>
              <w:t>服务范围：</w:t>
            </w:r>
          </w:p>
        </w:tc>
      </w:tr>
      <w:tr w14:paraId="47035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629" w:type="dxa"/>
            <w:gridSpan w:val="6"/>
            <w:vAlign w:val="center"/>
          </w:tcPr>
          <w:p w14:paraId="62ED9F65">
            <w:pPr>
              <w:rPr>
                <w:rFonts w:ascii="仿宋_GB2312" w:hAnsi="华文细黑" w:eastAsia="仿宋_GB2312"/>
                <w:color w:val="auto"/>
              </w:rPr>
            </w:pPr>
            <w:r>
              <w:rPr>
                <w:rFonts w:hint="eastAsia" w:ascii="仿宋_GB2312" w:hAnsi="华文细黑" w:eastAsia="仿宋_GB2312"/>
                <w:color w:val="auto"/>
              </w:rPr>
              <w:t xml:space="preserve">服务周期：                                       </w:t>
            </w:r>
          </w:p>
        </w:tc>
      </w:tr>
      <w:tr w14:paraId="1CDC2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29" w:type="dxa"/>
            <w:gridSpan w:val="6"/>
            <w:vAlign w:val="center"/>
          </w:tcPr>
          <w:p w14:paraId="06A6927B">
            <w:pPr>
              <w:tabs>
                <w:tab w:val="left" w:pos="5067"/>
              </w:tabs>
              <w:rPr>
                <w:rFonts w:ascii="仿宋_GB2312" w:hAnsi="华文细黑" w:eastAsia="仿宋_GB2312"/>
                <w:color w:val="auto"/>
              </w:rPr>
            </w:pPr>
            <w:r>
              <w:rPr>
                <w:rFonts w:hint="eastAsia" w:ascii="仿宋_GB2312" w:hAnsi="华文细黑" w:eastAsia="仿宋_GB2312"/>
                <w:color w:val="auto"/>
              </w:rPr>
              <w:t>评价周期：</w:t>
            </w:r>
            <w:r>
              <w:rPr>
                <w:rFonts w:hint="eastAsia" w:ascii="仿宋_GB2312" w:hAnsi="华文细黑" w:eastAsia="仿宋_GB2312"/>
                <w:color w:val="auto"/>
              </w:rPr>
              <w:fldChar w:fldCharType="begin">
                <w:ffData>
                  <w:name w:val="Check2"/>
                  <w:enabled/>
                  <w:calcOnExit w:val="0"/>
                  <w:checkBox>
                    <w:sizeAuto/>
                    <w:default w:val="0"/>
                    <w:checked w:val="0"/>
                  </w:checkBox>
                </w:ffData>
              </w:fldChar>
            </w:r>
            <w:r>
              <w:rPr>
                <w:rFonts w:hint="eastAsia" w:ascii="仿宋_GB2312" w:hAnsi="华文细黑" w:eastAsia="仿宋_GB2312"/>
                <w:color w:val="auto"/>
              </w:rPr>
              <w:instrText xml:space="preserve">FORMCHECKBOX</w:instrText>
            </w:r>
            <w:r>
              <w:rPr>
                <w:rFonts w:ascii="仿宋_GB2312" w:hAnsi="华文细黑" w:eastAsia="仿宋_GB2312"/>
                <w:color w:val="auto"/>
              </w:rPr>
              <w:fldChar w:fldCharType="separate"/>
            </w:r>
            <w:r>
              <w:rPr>
                <w:rFonts w:hint="eastAsia" w:ascii="仿宋_GB2312" w:hAnsi="华文细黑" w:eastAsia="仿宋_GB2312"/>
                <w:color w:val="auto"/>
              </w:rPr>
              <w:fldChar w:fldCharType="end"/>
            </w:r>
            <w:r>
              <w:rPr>
                <w:rFonts w:hint="eastAsia" w:ascii="仿宋_GB2312" w:hAnsi="华文细黑" w:eastAsia="仿宋_GB2312"/>
                <w:color w:val="auto"/>
              </w:rPr>
              <w:t xml:space="preserve">月评   </w:t>
            </w:r>
            <w:r>
              <w:rPr>
                <w:rFonts w:hint="eastAsia" w:ascii="仿宋_GB2312" w:hAnsi="华文细黑" w:eastAsia="仿宋_GB2312"/>
                <w:color w:val="auto"/>
              </w:rPr>
              <w:fldChar w:fldCharType="begin">
                <w:ffData>
                  <w:name w:val="Check2"/>
                  <w:enabled/>
                  <w:calcOnExit w:val="0"/>
                  <w:checkBox>
                    <w:sizeAuto/>
                    <w:default w:val="0"/>
                    <w:checked w:val="0"/>
                  </w:checkBox>
                </w:ffData>
              </w:fldChar>
            </w:r>
            <w:r>
              <w:rPr>
                <w:rFonts w:hint="eastAsia" w:ascii="仿宋_GB2312" w:hAnsi="华文细黑" w:eastAsia="仿宋_GB2312"/>
                <w:color w:val="auto"/>
              </w:rPr>
              <w:instrText xml:space="preserve">FORMCHECKBOX</w:instrText>
            </w:r>
            <w:r>
              <w:rPr>
                <w:rFonts w:ascii="仿宋_GB2312" w:hAnsi="华文细黑" w:eastAsia="仿宋_GB2312"/>
                <w:color w:val="auto"/>
              </w:rPr>
              <w:fldChar w:fldCharType="separate"/>
            </w:r>
            <w:r>
              <w:rPr>
                <w:rFonts w:hint="eastAsia" w:ascii="仿宋_GB2312" w:hAnsi="华文细黑" w:eastAsia="仿宋_GB2312"/>
                <w:color w:val="auto"/>
              </w:rPr>
              <w:fldChar w:fldCharType="end"/>
            </w:r>
            <w:r>
              <w:rPr>
                <w:rFonts w:hint="eastAsia" w:ascii="仿宋_GB2312" w:hAnsi="华文细黑" w:eastAsia="仿宋_GB2312"/>
                <w:color w:val="auto"/>
              </w:rPr>
              <w:t xml:space="preserve">季评   </w:t>
            </w:r>
            <w:r>
              <w:rPr>
                <w:rFonts w:hint="eastAsia" w:ascii="仿宋_GB2312" w:hAnsi="华文细黑" w:eastAsia="仿宋_GB2312"/>
                <w:color w:val="auto"/>
              </w:rPr>
              <w:fldChar w:fldCharType="begin">
                <w:ffData>
                  <w:name w:val="Check2"/>
                  <w:enabled/>
                  <w:calcOnExit w:val="0"/>
                  <w:checkBox>
                    <w:sizeAuto/>
                    <w:default w:val="0"/>
                    <w:checked w:val="0"/>
                  </w:checkBox>
                </w:ffData>
              </w:fldChar>
            </w:r>
            <w:r>
              <w:rPr>
                <w:rFonts w:hint="eastAsia" w:ascii="仿宋_GB2312" w:hAnsi="华文细黑" w:eastAsia="仿宋_GB2312"/>
                <w:color w:val="auto"/>
              </w:rPr>
              <w:instrText xml:space="preserve">FORMCHECKBOX</w:instrText>
            </w:r>
            <w:r>
              <w:rPr>
                <w:rFonts w:ascii="仿宋_GB2312" w:hAnsi="华文细黑" w:eastAsia="仿宋_GB2312"/>
                <w:color w:val="auto"/>
              </w:rPr>
              <w:fldChar w:fldCharType="separate"/>
            </w:r>
            <w:r>
              <w:rPr>
                <w:rFonts w:hint="eastAsia" w:ascii="仿宋_GB2312" w:hAnsi="华文细黑" w:eastAsia="仿宋_GB2312"/>
                <w:color w:val="auto"/>
              </w:rPr>
              <w:fldChar w:fldCharType="end"/>
            </w:r>
            <w:r>
              <w:rPr>
                <w:rFonts w:hint="eastAsia" w:ascii="仿宋_GB2312" w:hAnsi="华文细黑" w:eastAsia="仿宋_GB2312"/>
                <w:color w:val="auto"/>
              </w:rPr>
              <w:t>半年评</w:t>
            </w:r>
          </w:p>
        </w:tc>
      </w:tr>
      <w:tr w14:paraId="268B2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gridSpan w:val="2"/>
            <w:vAlign w:val="center"/>
          </w:tcPr>
          <w:p w14:paraId="7C7BC0CF">
            <w:pPr>
              <w:jc w:val="center"/>
              <w:rPr>
                <w:rFonts w:ascii="仿宋_GB2312" w:hAnsi="华文细黑" w:eastAsia="仿宋_GB2312"/>
                <w:color w:val="auto"/>
              </w:rPr>
            </w:pPr>
            <w:r>
              <w:rPr>
                <w:rFonts w:hint="eastAsia" w:ascii="仿宋_GB2312" w:hAnsi="华文细黑" w:eastAsia="仿宋_GB2312"/>
                <w:color w:val="auto"/>
              </w:rPr>
              <w:t>履约评价维度</w:t>
            </w:r>
          </w:p>
        </w:tc>
        <w:tc>
          <w:tcPr>
            <w:tcW w:w="2840" w:type="dxa"/>
            <w:vAlign w:val="center"/>
          </w:tcPr>
          <w:p w14:paraId="14B9C1DB">
            <w:pPr>
              <w:jc w:val="center"/>
              <w:rPr>
                <w:rFonts w:ascii="仿宋_GB2312" w:hAnsi="华文细黑" w:eastAsia="仿宋_GB2312"/>
                <w:color w:val="auto"/>
              </w:rPr>
            </w:pPr>
            <w:r>
              <w:rPr>
                <w:rFonts w:hint="eastAsia" w:ascii="仿宋_GB2312" w:hAnsi="华文细黑" w:eastAsia="仿宋_GB2312"/>
                <w:color w:val="auto"/>
              </w:rPr>
              <w:t>分项指标</w:t>
            </w:r>
          </w:p>
        </w:tc>
        <w:tc>
          <w:tcPr>
            <w:tcW w:w="3271" w:type="dxa"/>
            <w:gridSpan w:val="2"/>
            <w:vAlign w:val="center"/>
          </w:tcPr>
          <w:p w14:paraId="30370E9A">
            <w:pPr>
              <w:jc w:val="center"/>
              <w:rPr>
                <w:rFonts w:ascii="仿宋_GB2312" w:hAnsi="华文细黑" w:eastAsia="仿宋_GB2312"/>
                <w:color w:val="auto"/>
              </w:rPr>
            </w:pPr>
            <w:r>
              <w:rPr>
                <w:rFonts w:hint="eastAsia" w:ascii="仿宋_GB2312" w:hAnsi="华文细黑" w:eastAsia="仿宋_GB2312"/>
                <w:color w:val="auto"/>
              </w:rPr>
              <w:t>评分标准</w:t>
            </w:r>
          </w:p>
        </w:tc>
        <w:tc>
          <w:tcPr>
            <w:tcW w:w="1418" w:type="dxa"/>
            <w:vAlign w:val="center"/>
          </w:tcPr>
          <w:p w14:paraId="071CB1F3">
            <w:pPr>
              <w:jc w:val="center"/>
              <w:rPr>
                <w:rFonts w:ascii="仿宋_GB2312" w:hAnsi="华文细黑" w:eastAsia="仿宋_GB2312"/>
                <w:color w:val="auto"/>
              </w:rPr>
            </w:pPr>
            <w:r>
              <w:rPr>
                <w:rFonts w:hint="eastAsia" w:ascii="仿宋_GB2312" w:hAnsi="华文细黑" w:eastAsia="仿宋_GB2312"/>
                <w:color w:val="auto"/>
              </w:rPr>
              <w:t>扣分</w:t>
            </w:r>
          </w:p>
        </w:tc>
      </w:tr>
      <w:tr w14:paraId="6029A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restart"/>
            <w:vAlign w:val="center"/>
          </w:tcPr>
          <w:p w14:paraId="5FDA30AF">
            <w:pPr>
              <w:widowControl/>
              <w:jc w:val="center"/>
              <w:rPr>
                <w:rFonts w:ascii="仿宋_GB2312" w:hAnsi="华文细黑" w:eastAsia="仿宋_GB2312"/>
                <w:color w:val="auto"/>
              </w:rPr>
            </w:pPr>
            <w:r>
              <w:rPr>
                <w:rFonts w:hint="eastAsia" w:ascii="仿宋_GB2312" w:hAnsi="华文细黑" w:eastAsia="仿宋_GB2312"/>
                <w:color w:val="auto"/>
              </w:rPr>
              <w:t>责任部门-合同</w:t>
            </w:r>
          </w:p>
          <w:p w14:paraId="600B48E3">
            <w:pPr>
              <w:jc w:val="center"/>
              <w:rPr>
                <w:rFonts w:ascii="仿宋_GB2312" w:hAnsi="华文细黑" w:eastAsia="仿宋_GB2312"/>
                <w:color w:val="auto"/>
              </w:rPr>
            </w:pPr>
            <w:r>
              <w:rPr>
                <w:rFonts w:hint="eastAsia" w:ascii="仿宋_GB2312" w:hAnsi="华文细黑" w:eastAsia="仿宋_GB2312"/>
                <w:color w:val="auto"/>
              </w:rPr>
              <w:t>履行情况</w:t>
            </w:r>
          </w:p>
        </w:tc>
        <w:tc>
          <w:tcPr>
            <w:tcW w:w="1365" w:type="dxa"/>
            <w:vMerge w:val="restart"/>
            <w:vAlign w:val="center"/>
          </w:tcPr>
          <w:p w14:paraId="78B520CF">
            <w:pPr>
              <w:jc w:val="center"/>
              <w:rPr>
                <w:rFonts w:ascii="仿宋_GB2312" w:hAnsi="华文细黑" w:eastAsia="仿宋_GB2312"/>
                <w:color w:val="auto"/>
                <w:szCs w:val="21"/>
              </w:rPr>
            </w:pPr>
            <w:r>
              <w:rPr>
                <w:rFonts w:hint="eastAsia" w:ascii="仿宋_GB2312" w:hAnsi="华文细黑" w:eastAsia="仿宋_GB2312" w:cs="仿宋"/>
                <w:color w:val="auto"/>
                <w:kern w:val="0"/>
                <w:szCs w:val="21"/>
              </w:rPr>
              <w:t>品质水平</w:t>
            </w:r>
          </w:p>
        </w:tc>
        <w:tc>
          <w:tcPr>
            <w:tcW w:w="2840" w:type="dxa"/>
            <w:vAlign w:val="center"/>
          </w:tcPr>
          <w:p w14:paraId="0821D531">
            <w:pPr>
              <w:autoSpaceDE w:val="0"/>
              <w:autoSpaceDN w:val="0"/>
              <w:adjustRightInd w:val="0"/>
              <w:spacing w:line="276" w:lineRule="auto"/>
              <w:rPr>
                <w:rFonts w:ascii="仿宋_GB2312" w:hAnsi="华文细黑" w:eastAsia="仿宋_GB2312" w:cs="仿宋"/>
                <w:color w:val="auto"/>
                <w:szCs w:val="21"/>
              </w:rPr>
            </w:pPr>
            <w:r>
              <w:rPr>
                <w:rFonts w:hint="eastAsia" w:ascii="仿宋_GB2312" w:hAnsi="华文细黑" w:eastAsia="仿宋_GB2312" w:cs="仿宋"/>
                <w:color w:val="auto"/>
                <w:szCs w:val="21"/>
              </w:rPr>
              <w:t>服务标准/验收标准产品质量评估符合性情况</w:t>
            </w:r>
          </w:p>
        </w:tc>
        <w:tc>
          <w:tcPr>
            <w:tcW w:w="3271" w:type="dxa"/>
            <w:gridSpan w:val="2"/>
            <w:vAlign w:val="center"/>
          </w:tcPr>
          <w:p w14:paraId="610CB3EF">
            <w:pPr>
              <w:autoSpaceDE w:val="0"/>
              <w:autoSpaceDN w:val="0"/>
              <w:adjustRightInd w:val="0"/>
              <w:spacing w:line="276" w:lineRule="auto"/>
              <w:rPr>
                <w:rFonts w:ascii="仿宋_GB2312" w:hAnsi="华文细黑" w:eastAsia="仿宋_GB2312" w:cs="仿宋"/>
                <w:color w:val="auto"/>
                <w:szCs w:val="21"/>
              </w:rPr>
            </w:pPr>
            <w:r>
              <w:rPr>
                <w:rFonts w:hint="eastAsia" w:ascii="仿宋_GB2312" w:hAnsi="华文细黑" w:eastAsia="仿宋_GB2312" w:cs="仿宋"/>
                <w:color w:val="auto"/>
                <w:szCs w:val="21"/>
              </w:rPr>
              <w:t>每发现１处不合格，扣2分</w:t>
            </w:r>
          </w:p>
        </w:tc>
        <w:tc>
          <w:tcPr>
            <w:tcW w:w="1418" w:type="dxa"/>
            <w:vAlign w:val="center"/>
          </w:tcPr>
          <w:p w14:paraId="05410C5B">
            <w:pPr>
              <w:autoSpaceDE w:val="0"/>
              <w:autoSpaceDN w:val="0"/>
              <w:adjustRightInd w:val="0"/>
              <w:rPr>
                <w:rFonts w:ascii="仿宋_GB2312" w:hAnsi="华文细黑" w:eastAsia="仿宋_GB2312" w:cs="仿宋"/>
                <w:color w:val="auto"/>
                <w:sz w:val="24"/>
                <w:szCs w:val="24"/>
              </w:rPr>
            </w:pPr>
          </w:p>
        </w:tc>
      </w:tr>
      <w:tr w14:paraId="203B2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0768740B">
            <w:pPr>
              <w:widowControl/>
              <w:jc w:val="center"/>
              <w:rPr>
                <w:rFonts w:ascii="仿宋_GB2312" w:hAnsi="华文细黑" w:eastAsia="仿宋_GB2312"/>
                <w:color w:val="auto"/>
              </w:rPr>
            </w:pPr>
          </w:p>
        </w:tc>
        <w:tc>
          <w:tcPr>
            <w:tcW w:w="1365" w:type="dxa"/>
            <w:vMerge w:val="continue"/>
            <w:vAlign w:val="center"/>
          </w:tcPr>
          <w:p w14:paraId="260DBE56">
            <w:pPr>
              <w:jc w:val="center"/>
              <w:rPr>
                <w:rFonts w:ascii="仿宋_GB2312" w:hAnsi="华文细黑" w:eastAsia="仿宋_GB2312" w:cs="仿宋"/>
                <w:color w:val="auto"/>
                <w:kern w:val="0"/>
                <w:szCs w:val="21"/>
              </w:rPr>
            </w:pPr>
          </w:p>
        </w:tc>
        <w:tc>
          <w:tcPr>
            <w:tcW w:w="2840" w:type="dxa"/>
            <w:vAlign w:val="center"/>
          </w:tcPr>
          <w:p w14:paraId="505E2436">
            <w:pPr>
              <w:autoSpaceDE w:val="0"/>
              <w:autoSpaceDN w:val="0"/>
              <w:adjustRightInd w:val="0"/>
              <w:spacing w:line="276" w:lineRule="auto"/>
              <w:rPr>
                <w:rFonts w:ascii="仿宋_GB2312" w:hAnsi="华文细黑" w:eastAsia="仿宋_GB2312" w:cs="仿宋"/>
                <w:color w:val="auto"/>
                <w:szCs w:val="21"/>
              </w:rPr>
            </w:pPr>
            <w:r>
              <w:rPr>
                <w:rFonts w:hint="eastAsia" w:ascii="仿宋_GB2312" w:hAnsi="华文细黑" w:eastAsia="仿宋_GB2312" w:cs="仿宋"/>
                <w:color w:val="auto"/>
                <w:szCs w:val="21"/>
              </w:rPr>
              <w:t>违约行为</w:t>
            </w:r>
          </w:p>
        </w:tc>
        <w:tc>
          <w:tcPr>
            <w:tcW w:w="3271" w:type="dxa"/>
            <w:gridSpan w:val="2"/>
            <w:vAlign w:val="center"/>
          </w:tcPr>
          <w:p w14:paraId="1C31398F">
            <w:pPr>
              <w:autoSpaceDE w:val="0"/>
              <w:autoSpaceDN w:val="0"/>
              <w:adjustRightInd w:val="0"/>
              <w:spacing w:line="276" w:lineRule="auto"/>
              <w:rPr>
                <w:rFonts w:ascii="仿宋_GB2312" w:hAnsi="华文细黑" w:eastAsia="仿宋_GB2312" w:cs="仿宋"/>
                <w:color w:val="auto"/>
                <w:szCs w:val="21"/>
              </w:rPr>
            </w:pPr>
            <w:r>
              <w:rPr>
                <w:rFonts w:hint="eastAsia" w:ascii="仿宋_GB2312" w:hAnsi="华文细黑" w:eastAsia="仿宋_GB2312" w:cs="仿宋"/>
                <w:color w:val="auto"/>
                <w:szCs w:val="21"/>
              </w:rPr>
              <w:t>每发现１处违约行为，扣5分</w:t>
            </w:r>
          </w:p>
        </w:tc>
        <w:tc>
          <w:tcPr>
            <w:tcW w:w="1418" w:type="dxa"/>
            <w:vAlign w:val="center"/>
          </w:tcPr>
          <w:p w14:paraId="699FCE81">
            <w:pPr>
              <w:autoSpaceDE w:val="0"/>
              <w:autoSpaceDN w:val="0"/>
              <w:adjustRightInd w:val="0"/>
              <w:rPr>
                <w:rFonts w:ascii="仿宋_GB2312" w:hAnsi="华文细黑" w:eastAsia="仿宋_GB2312" w:cs="仿宋"/>
                <w:color w:val="auto"/>
                <w:sz w:val="24"/>
                <w:szCs w:val="24"/>
              </w:rPr>
            </w:pPr>
          </w:p>
        </w:tc>
      </w:tr>
      <w:tr w14:paraId="4434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3D837F97">
            <w:pPr>
              <w:widowControl/>
              <w:jc w:val="center"/>
              <w:rPr>
                <w:rFonts w:ascii="仿宋_GB2312" w:hAnsi="华文细黑" w:eastAsia="仿宋_GB2312"/>
                <w:color w:val="auto"/>
              </w:rPr>
            </w:pPr>
          </w:p>
        </w:tc>
        <w:tc>
          <w:tcPr>
            <w:tcW w:w="1365" w:type="dxa"/>
            <w:vMerge w:val="restart"/>
            <w:vAlign w:val="center"/>
          </w:tcPr>
          <w:p w14:paraId="3B1D4DB5">
            <w:pPr>
              <w:jc w:val="center"/>
              <w:rPr>
                <w:rFonts w:ascii="仿宋_GB2312" w:hAnsi="华文细黑" w:eastAsia="仿宋_GB2312"/>
                <w:color w:val="auto"/>
                <w:szCs w:val="21"/>
              </w:rPr>
            </w:pPr>
            <w:r>
              <w:rPr>
                <w:rFonts w:hint="eastAsia" w:ascii="仿宋_GB2312" w:hAnsi="华文细黑" w:eastAsia="仿宋_GB2312" w:cs="仿宋"/>
                <w:color w:val="auto"/>
                <w:kern w:val="0"/>
                <w:szCs w:val="21"/>
              </w:rPr>
              <w:t>专业能力</w:t>
            </w:r>
          </w:p>
        </w:tc>
        <w:tc>
          <w:tcPr>
            <w:tcW w:w="2840" w:type="dxa"/>
            <w:vAlign w:val="center"/>
          </w:tcPr>
          <w:p w14:paraId="7CFEDD77">
            <w:pPr>
              <w:jc w:val="left"/>
              <w:rPr>
                <w:rFonts w:ascii="仿宋_GB2312" w:hAnsi="华文细黑" w:eastAsia="仿宋_GB2312"/>
                <w:color w:val="auto"/>
                <w:szCs w:val="21"/>
              </w:rPr>
            </w:pPr>
            <w:r>
              <w:rPr>
                <w:rFonts w:hint="eastAsia" w:ascii="仿宋_GB2312" w:hAnsi="华文细黑" w:eastAsia="仿宋_GB2312" w:cs="仿宋"/>
                <w:color w:val="auto"/>
              </w:rPr>
              <w:t>驻场负责人/对接人员工作计划完成情况</w:t>
            </w:r>
          </w:p>
        </w:tc>
        <w:tc>
          <w:tcPr>
            <w:tcW w:w="3271" w:type="dxa"/>
            <w:gridSpan w:val="2"/>
            <w:vAlign w:val="center"/>
          </w:tcPr>
          <w:p w14:paraId="431A3811">
            <w:pPr>
              <w:jc w:val="left"/>
              <w:rPr>
                <w:rFonts w:ascii="仿宋_GB2312" w:hAnsi="华文细黑" w:eastAsia="仿宋_GB2312"/>
                <w:color w:val="auto"/>
                <w:szCs w:val="21"/>
              </w:rPr>
            </w:pPr>
            <w:r>
              <w:rPr>
                <w:rFonts w:hint="eastAsia" w:ascii="仿宋_GB2312" w:hAnsi="华文细黑" w:eastAsia="仿宋_GB2312"/>
                <w:color w:val="auto"/>
                <w:szCs w:val="21"/>
              </w:rPr>
              <w:t>未完成计划项，每１项扣5分</w:t>
            </w:r>
          </w:p>
        </w:tc>
        <w:tc>
          <w:tcPr>
            <w:tcW w:w="1418" w:type="dxa"/>
            <w:vAlign w:val="center"/>
          </w:tcPr>
          <w:p w14:paraId="0AF8024A">
            <w:pPr>
              <w:jc w:val="center"/>
              <w:rPr>
                <w:rFonts w:ascii="仿宋_GB2312" w:hAnsi="华文细黑" w:eastAsia="仿宋_GB2312"/>
                <w:color w:val="auto"/>
              </w:rPr>
            </w:pPr>
          </w:p>
        </w:tc>
      </w:tr>
      <w:tr w14:paraId="2880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0B3B454A">
            <w:pPr>
              <w:widowControl/>
              <w:jc w:val="center"/>
              <w:rPr>
                <w:rFonts w:ascii="仿宋_GB2312" w:hAnsi="华文细黑" w:eastAsia="仿宋_GB2312"/>
                <w:color w:val="auto"/>
              </w:rPr>
            </w:pPr>
          </w:p>
        </w:tc>
        <w:tc>
          <w:tcPr>
            <w:tcW w:w="1365" w:type="dxa"/>
            <w:vMerge w:val="continue"/>
            <w:vAlign w:val="center"/>
          </w:tcPr>
          <w:p w14:paraId="2BB2D87A">
            <w:pPr>
              <w:jc w:val="center"/>
              <w:rPr>
                <w:rFonts w:ascii="仿宋_GB2312" w:hAnsi="华文细黑" w:eastAsia="仿宋_GB2312" w:cs="仿宋"/>
                <w:color w:val="auto"/>
                <w:kern w:val="0"/>
                <w:szCs w:val="21"/>
              </w:rPr>
            </w:pPr>
          </w:p>
        </w:tc>
        <w:tc>
          <w:tcPr>
            <w:tcW w:w="2840" w:type="dxa"/>
            <w:vAlign w:val="center"/>
          </w:tcPr>
          <w:p w14:paraId="0C5E17C4">
            <w:pPr>
              <w:jc w:val="left"/>
              <w:rPr>
                <w:rFonts w:ascii="仿宋_GB2312" w:hAnsi="华文细黑" w:eastAsia="仿宋_GB2312" w:cs="仿宋"/>
                <w:color w:val="auto"/>
                <w:kern w:val="0"/>
                <w:szCs w:val="21"/>
              </w:rPr>
            </w:pPr>
            <w:r>
              <w:rPr>
                <w:rFonts w:hint="eastAsia" w:ascii="仿宋_GB2312" w:hAnsi="华文细黑" w:eastAsia="仿宋_GB2312" w:cs="仿宋"/>
                <w:color w:val="auto"/>
              </w:rPr>
              <w:t>操作人员素质及能力是否符合要求</w:t>
            </w:r>
          </w:p>
        </w:tc>
        <w:tc>
          <w:tcPr>
            <w:tcW w:w="3271" w:type="dxa"/>
            <w:gridSpan w:val="2"/>
            <w:vAlign w:val="center"/>
          </w:tcPr>
          <w:p w14:paraId="48A5A8C9">
            <w:pPr>
              <w:jc w:val="left"/>
              <w:rPr>
                <w:rFonts w:ascii="仿宋_GB2312" w:hAnsi="华文细黑" w:eastAsia="仿宋_GB2312" w:cs="仿宋"/>
                <w:color w:val="auto"/>
                <w:kern w:val="0"/>
                <w:szCs w:val="21"/>
              </w:rPr>
            </w:pPr>
            <w:r>
              <w:rPr>
                <w:rFonts w:hint="eastAsia" w:ascii="仿宋_GB2312" w:hAnsi="华文细黑" w:eastAsia="仿宋_GB2312" w:cs="仿宋"/>
                <w:color w:val="auto"/>
                <w:kern w:val="0"/>
                <w:szCs w:val="21"/>
              </w:rPr>
              <w:t>每发现1次不达标，扣2分</w:t>
            </w:r>
          </w:p>
        </w:tc>
        <w:tc>
          <w:tcPr>
            <w:tcW w:w="1418" w:type="dxa"/>
            <w:vAlign w:val="center"/>
          </w:tcPr>
          <w:p w14:paraId="2C4FB26C">
            <w:pPr>
              <w:jc w:val="center"/>
              <w:rPr>
                <w:rFonts w:ascii="仿宋_GB2312" w:hAnsi="华文细黑" w:eastAsia="仿宋_GB2312"/>
                <w:color w:val="auto"/>
              </w:rPr>
            </w:pPr>
          </w:p>
        </w:tc>
      </w:tr>
      <w:tr w14:paraId="77B3A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4331311C">
            <w:pPr>
              <w:widowControl/>
              <w:jc w:val="center"/>
              <w:rPr>
                <w:rFonts w:ascii="仿宋_GB2312" w:hAnsi="华文细黑" w:eastAsia="仿宋_GB2312"/>
                <w:color w:val="auto"/>
              </w:rPr>
            </w:pPr>
          </w:p>
        </w:tc>
        <w:tc>
          <w:tcPr>
            <w:tcW w:w="1365" w:type="dxa"/>
            <w:vMerge w:val="continue"/>
            <w:vAlign w:val="center"/>
          </w:tcPr>
          <w:p w14:paraId="12B05052">
            <w:pPr>
              <w:jc w:val="center"/>
              <w:rPr>
                <w:rFonts w:ascii="仿宋_GB2312" w:hAnsi="华文细黑" w:eastAsia="仿宋_GB2312" w:cs="仿宋"/>
                <w:color w:val="auto"/>
                <w:kern w:val="0"/>
                <w:szCs w:val="21"/>
              </w:rPr>
            </w:pPr>
          </w:p>
        </w:tc>
        <w:tc>
          <w:tcPr>
            <w:tcW w:w="2840" w:type="dxa"/>
            <w:vAlign w:val="center"/>
          </w:tcPr>
          <w:p w14:paraId="312D51CF">
            <w:pPr>
              <w:jc w:val="left"/>
              <w:rPr>
                <w:rFonts w:ascii="仿宋_GB2312" w:hAnsi="华文细黑" w:eastAsia="仿宋_GB2312" w:cs="仿宋"/>
                <w:color w:val="auto"/>
                <w:kern w:val="0"/>
                <w:szCs w:val="21"/>
              </w:rPr>
            </w:pPr>
            <w:r>
              <w:rPr>
                <w:rFonts w:hint="eastAsia" w:ascii="仿宋_GB2312" w:hAnsi="华文细黑" w:eastAsia="仿宋_GB2312" w:cs="仿宋"/>
                <w:color w:val="auto"/>
              </w:rPr>
              <w:t>辅助设备/工具使用是否符合现场情况</w:t>
            </w:r>
          </w:p>
        </w:tc>
        <w:tc>
          <w:tcPr>
            <w:tcW w:w="3271" w:type="dxa"/>
            <w:gridSpan w:val="2"/>
            <w:vAlign w:val="center"/>
          </w:tcPr>
          <w:p w14:paraId="059C4EFB">
            <w:pPr>
              <w:jc w:val="left"/>
              <w:rPr>
                <w:rFonts w:ascii="仿宋_GB2312" w:hAnsi="华文细黑" w:eastAsia="仿宋_GB2312" w:cs="仿宋"/>
                <w:color w:val="auto"/>
                <w:kern w:val="0"/>
                <w:szCs w:val="21"/>
              </w:rPr>
            </w:pPr>
            <w:r>
              <w:rPr>
                <w:rFonts w:hint="eastAsia" w:ascii="仿宋_GB2312" w:hAnsi="华文细黑" w:eastAsia="仿宋_GB2312" w:cs="仿宋"/>
                <w:color w:val="auto"/>
                <w:kern w:val="0"/>
                <w:szCs w:val="21"/>
              </w:rPr>
              <w:t>每发现1次不达标，扣1分</w:t>
            </w:r>
          </w:p>
        </w:tc>
        <w:tc>
          <w:tcPr>
            <w:tcW w:w="1418" w:type="dxa"/>
            <w:vAlign w:val="center"/>
          </w:tcPr>
          <w:p w14:paraId="68D9DC66">
            <w:pPr>
              <w:jc w:val="center"/>
              <w:rPr>
                <w:rFonts w:ascii="仿宋_GB2312" w:hAnsi="华文细黑" w:eastAsia="仿宋_GB2312"/>
                <w:color w:val="auto"/>
              </w:rPr>
            </w:pPr>
          </w:p>
        </w:tc>
      </w:tr>
      <w:tr w14:paraId="413A6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309BE8FC">
            <w:pPr>
              <w:widowControl/>
              <w:jc w:val="center"/>
              <w:rPr>
                <w:rFonts w:ascii="仿宋_GB2312" w:hAnsi="华文细黑" w:eastAsia="仿宋_GB2312"/>
                <w:color w:val="auto"/>
              </w:rPr>
            </w:pPr>
          </w:p>
        </w:tc>
        <w:tc>
          <w:tcPr>
            <w:tcW w:w="1365" w:type="dxa"/>
            <w:vMerge w:val="continue"/>
            <w:vAlign w:val="center"/>
          </w:tcPr>
          <w:p w14:paraId="33FC1FD3">
            <w:pPr>
              <w:jc w:val="center"/>
              <w:rPr>
                <w:rFonts w:ascii="仿宋_GB2312" w:hAnsi="华文细黑" w:eastAsia="仿宋_GB2312" w:cs="仿宋"/>
                <w:color w:val="auto"/>
                <w:kern w:val="0"/>
                <w:szCs w:val="21"/>
              </w:rPr>
            </w:pPr>
          </w:p>
        </w:tc>
        <w:tc>
          <w:tcPr>
            <w:tcW w:w="2840" w:type="dxa"/>
            <w:vAlign w:val="center"/>
          </w:tcPr>
          <w:p w14:paraId="71F48756">
            <w:pPr>
              <w:jc w:val="left"/>
              <w:rPr>
                <w:rFonts w:ascii="仿宋_GB2312" w:hAnsi="华文细黑" w:eastAsia="仿宋_GB2312" w:cs="仿宋"/>
                <w:color w:val="auto"/>
              </w:rPr>
            </w:pPr>
            <w:r>
              <w:rPr>
                <w:rFonts w:hint="eastAsia" w:ascii="仿宋_GB2312" w:hAnsi="华文细黑" w:eastAsia="仿宋_GB2312" w:cs="仿宋"/>
                <w:color w:val="auto"/>
              </w:rPr>
              <w:t>技术问题的反应能力是否符合现场情况</w:t>
            </w:r>
          </w:p>
        </w:tc>
        <w:tc>
          <w:tcPr>
            <w:tcW w:w="3271" w:type="dxa"/>
            <w:gridSpan w:val="2"/>
            <w:vAlign w:val="center"/>
          </w:tcPr>
          <w:p w14:paraId="5D0916AE">
            <w:pPr>
              <w:jc w:val="left"/>
              <w:rPr>
                <w:rFonts w:ascii="仿宋_GB2312" w:hAnsi="华文细黑" w:eastAsia="仿宋_GB2312" w:cs="仿宋"/>
                <w:color w:val="auto"/>
                <w:kern w:val="0"/>
                <w:szCs w:val="21"/>
              </w:rPr>
            </w:pPr>
            <w:r>
              <w:rPr>
                <w:rFonts w:hint="eastAsia" w:ascii="仿宋_GB2312" w:hAnsi="华文细黑" w:eastAsia="仿宋_GB2312" w:cs="仿宋"/>
                <w:color w:val="auto"/>
                <w:kern w:val="0"/>
                <w:szCs w:val="21"/>
              </w:rPr>
              <w:t>每发现1处不达标，扣5分</w:t>
            </w:r>
          </w:p>
        </w:tc>
        <w:tc>
          <w:tcPr>
            <w:tcW w:w="1418" w:type="dxa"/>
            <w:vAlign w:val="center"/>
          </w:tcPr>
          <w:p w14:paraId="21B6E45D">
            <w:pPr>
              <w:jc w:val="center"/>
              <w:rPr>
                <w:rFonts w:ascii="仿宋_GB2312" w:hAnsi="华文细黑" w:eastAsia="仿宋_GB2312"/>
                <w:color w:val="auto"/>
              </w:rPr>
            </w:pPr>
          </w:p>
        </w:tc>
      </w:tr>
      <w:tr w14:paraId="096F9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35" w:type="dxa"/>
            <w:vMerge w:val="continue"/>
            <w:vAlign w:val="center"/>
          </w:tcPr>
          <w:p w14:paraId="1B825242">
            <w:pPr>
              <w:widowControl/>
              <w:jc w:val="center"/>
              <w:rPr>
                <w:rFonts w:ascii="仿宋_GB2312" w:hAnsi="华文细黑" w:eastAsia="仿宋_GB2312"/>
                <w:color w:val="auto"/>
              </w:rPr>
            </w:pPr>
          </w:p>
        </w:tc>
        <w:tc>
          <w:tcPr>
            <w:tcW w:w="1365" w:type="dxa"/>
            <w:vMerge w:val="continue"/>
            <w:vAlign w:val="center"/>
          </w:tcPr>
          <w:p w14:paraId="0F240EE3">
            <w:pPr>
              <w:jc w:val="center"/>
              <w:rPr>
                <w:rFonts w:ascii="仿宋_GB2312" w:hAnsi="华文细黑" w:eastAsia="仿宋_GB2312" w:cs="仿宋"/>
                <w:color w:val="auto"/>
                <w:kern w:val="0"/>
                <w:szCs w:val="21"/>
              </w:rPr>
            </w:pPr>
          </w:p>
        </w:tc>
        <w:tc>
          <w:tcPr>
            <w:tcW w:w="2840" w:type="dxa"/>
            <w:vAlign w:val="center"/>
          </w:tcPr>
          <w:p w14:paraId="6422190C">
            <w:pPr>
              <w:jc w:val="left"/>
              <w:rPr>
                <w:rFonts w:ascii="仿宋_GB2312" w:hAnsi="华文细黑" w:eastAsia="仿宋_GB2312" w:cs="仿宋"/>
                <w:color w:val="auto"/>
              </w:rPr>
            </w:pPr>
            <w:r>
              <w:rPr>
                <w:rFonts w:hint="eastAsia" w:ascii="仿宋_GB2312" w:hAnsi="华文细黑" w:eastAsia="仿宋_GB2312" w:cs="仿宋"/>
                <w:color w:val="auto"/>
              </w:rPr>
              <w:t>工艺技术的先进性是否满足现场使用需求</w:t>
            </w:r>
          </w:p>
        </w:tc>
        <w:tc>
          <w:tcPr>
            <w:tcW w:w="3271" w:type="dxa"/>
            <w:gridSpan w:val="2"/>
            <w:vAlign w:val="center"/>
          </w:tcPr>
          <w:p w14:paraId="162A3334">
            <w:pPr>
              <w:jc w:val="left"/>
              <w:rPr>
                <w:rFonts w:ascii="仿宋_GB2312" w:hAnsi="华文细黑" w:eastAsia="仿宋_GB2312" w:cs="仿宋"/>
                <w:color w:val="auto"/>
                <w:kern w:val="0"/>
                <w:szCs w:val="21"/>
              </w:rPr>
            </w:pPr>
            <w:r>
              <w:rPr>
                <w:rFonts w:hint="eastAsia" w:ascii="仿宋_GB2312" w:hAnsi="华文细黑" w:eastAsia="仿宋_GB2312" w:cs="仿宋"/>
                <w:color w:val="auto"/>
                <w:kern w:val="0"/>
                <w:szCs w:val="21"/>
              </w:rPr>
              <w:t>每发现1处不达标，扣2分</w:t>
            </w:r>
          </w:p>
        </w:tc>
        <w:tc>
          <w:tcPr>
            <w:tcW w:w="1418" w:type="dxa"/>
            <w:vAlign w:val="center"/>
          </w:tcPr>
          <w:p w14:paraId="2972EE27">
            <w:pPr>
              <w:jc w:val="center"/>
              <w:rPr>
                <w:rFonts w:ascii="仿宋_GB2312" w:hAnsi="华文细黑" w:eastAsia="仿宋_GB2312"/>
                <w:color w:val="auto"/>
              </w:rPr>
            </w:pPr>
          </w:p>
        </w:tc>
      </w:tr>
      <w:tr w14:paraId="5F0CA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7B20E213">
            <w:pPr>
              <w:widowControl/>
              <w:jc w:val="center"/>
              <w:rPr>
                <w:rFonts w:ascii="仿宋_GB2312" w:hAnsi="华文细黑" w:eastAsia="仿宋_GB2312"/>
                <w:color w:val="auto"/>
              </w:rPr>
            </w:pPr>
          </w:p>
        </w:tc>
        <w:tc>
          <w:tcPr>
            <w:tcW w:w="1365" w:type="dxa"/>
            <w:vMerge w:val="restart"/>
            <w:vAlign w:val="center"/>
          </w:tcPr>
          <w:p w14:paraId="1A3210F5">
            <w:pPr>
              <w:jc w:val="center"/>
              <w:rPr>
                <w:rFonts w:ascii="仿宋_GB2312" w:hAnsi="华文细黑" w:eastAsia="仿宋_GB2312"/>
                <w:color w:val="auto"/>
                <w:szCs w:val="21"/>
              </w:rPr>
            </w:pPr>
            <w:r>
              <w:rPr>
                <w:rFonts w:hint="eastAsia" w:ascii="仿宋_GB2312" w:hAnsi="华文细黑" w:eastAsia="仿宋_GB2312" w:cs="仿宋"/>
                <w:color w:val="auto"/>
                <w:kern w:val="0"/>
                <w:szCs w:val="21"/>
              </w:rPr>
              <w:t>管理能力</w:t>
            </w:r>
          </w:p>
        </w:tc>
        <w:tc>
          <w:tcPr>
            <w:tcW w:w="2840" w:type="dxa"/>
            <w:vAlign w:val="center"/>
          </w:tcPr>
          <w:p w14:paraId="048C18F9">
            <w:pPr>
              <w:jc w:val="left"/>
              <w:rPr>
                <w:rFonts w:ascii="仿宋_GB2312" w:hAnsi="华文细黑" w:eastAsia="仿宋_GB2312"/>
                <w:color w:val="auto"/>
                <w:szCs w:val="21"/>
              </w:rPr>
            </w:pPr>
            <w:r>
              <w:rPr>
                <w:rFonts w:hint="eastAsia" w:ascii="仿宋_GB2312" w:hAnsi="华文细黑" w:eastAsia="仿宋_GB2312" w:cs="仿宋"/>
                <w:color w:val="auto"/>
              </w:rPr>
              <w:t>驻场人员出勤情况</w:t>
            </w:r>
          </w:p>
        </w:tc>
        <w:tc>
          <w:tcPr>
            <w:tcW w:w="3271" w:type="dxa"/>
            <w:gridSpan w:val="2"/>
            <w:vAlign w:val="center"/>
          </w:tcPr>
          <w:p w14:paraId="3900BA11">
            <w:pPr>
              <w:jc w:val="left"/>
              <w:rPr>
                <w:rFonts w:ascii="仿宋_GB2312" w:hAnsi="华文细黑" w:eastAsia="仿宋_GB2312"/>
                <w:color w:val="auto"/>
                <w:szCs w:val="21"/>
              </w:rPr>
            </w:pPr>
            <w:r>
              <w:rPr>
                <w:rFonts w:hint="eastAsia" w:ascii="仿宋_GB2312" w:hAnsi="华文细黑" w:eastAsia="仿宋_GB2312"/>
                <w:color w:val="auto"/>
                <w:szCs w:val="21"/>
              </w:rPr>
              <w:t>每缺勤或迟到一名，扣2分</w:t>
            </w:r>
          </w:p>
        </w:tc>
        <w:tc>
          <w:tcPr>
            <w:tcW w:w="1418" w:type="dxa"/>
            <w:vAlign w:val="center"/>
          </w:tcPr>
          <w:p w14:paraId="160DFAEC">
            <w:pPr>
              <w:jc w:val="center"/>
              <w:rPr>
                <w:rFonts w:ascii="仿宋_GB2312" w:hAnsi="华文细黑" w:eastAsia="仿宋_GB2312"/>
                <w:color w:val="auto"/>
              </w:rPr>
            </w:pPr>
          </w:p>
        </w:tc>
      </w:tr>
      <w:tr w14:paraId="0E987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5A9CA45D">
            <w:pPr>
              <w:widowControl/>
              <w:jc w:val="center"/>
              <w:rPr>
                <w:rFonts w:ascii="仿宋_GB2312" w:hAnsi="华文细黑" w:eastAsia="仿宋_GB2312"/>
                <w:color w:val="auto"/>
              </w:rPr>
            </w:pPr>
          </w:p>
        </w:tc>
        <w:tc>
          <w:tcPr>
            <w:tcW w:w="1365" w:type="dxa"/>
            <w:vMerge w:val="continue"/>
            <w:vAlign w:val="center"/>
          </w:tcPr>
          <w:p w14:paraId="22B1EBFE">
            <w:pPr>
              <w:jc w:val="center"/>
              <w:rPr>
                <w:rFonts w:ascii="仿宋_GB2312" w:hAnsi="华文细黑" w:eastAsia="仿宋_GB2312" w:cs="仿宋"/>
                <w:color w:val="auto"/>
                <w:kern w:val="0"/>
                <w:szCs w:val="21"/>
              </w:rPr>
            </w:pPr>
          </w:p>
        </w:tc>
        <w:tc>
          <w:tcPr>
            <w:tcW w:w="2840" w:type="dxa"/>
            <w:vAlign w:val="center"/>
          </w:tcPr>
          <w:p w14:paraId="0245A64C">
            <w:pPr>
              <w:jc w:val="left"/>
              <w:rPr>
                <w:rFonts w:ascii="仿宋_GB2312" w:hAnsi="华文细黑" w:eastAsia="仿宋_GB2312" w:cs="仿宋"/>
                <w:color w:val="auto"/>
                <w:kern w:val="0"/>
                <w:szCs w:val="21"/>
              </w:rPr>
            </w:pPr>
            <w:r>
              <w:rPr>
                <w:rFonts w:hint="eastAsia" w:ascii="仿宋_GB2312" w:hAnsi="华文细黑" w:eastAsia="仿宋_GB2312" w:cs="仿宋"/>
                <w:color w:val="auto"/>
              </w:rPr>
              <w:t>安全生产管理措施是否到位</w:t>
            </w:r>
          </w:p>
        </w:tc>
        <w:tc>
          <w:tcPr>
            <w:tcW w:w="3271" w:type="dxa"/>
            <w:gridSpan w:val="2"/>
            <w:vAlign w:val="center"/>
          </w:tcPr>
          <w:p w14:paraId="6DC6AE42">
            <w:pPr>
              <w:jc w:val="left"/>
              <w:rPr>
                <w:rFonts w:ascii="仿宋_GB2312" w:hAnsi="华文细黑" w:eastAsia="仿宋_GB2312" w:cs="仿宋"/>
                <w:color w:val="auto"/>
                <w:kern w:val="0"/>
                <w:szCs w:val="21"/>
              </w:rPr>
            </w:pPr>
            <w:r>
              <w:rPr>
                <w:rFonts w:hint="eastAsia" w:ascii="仿宋_GB2312" w:hAnsi="华文细黑" w:eastAsia="仿宋_GB2312" w:cs="仿宋"/>
                <w:color w:val="auto"/>
                <w:kern w:val="0"/>
                <w:szCs w:val="21"/>
              </w:rPr>
              <w:t>每发生1次安全隐患，扣5分</w:t>
            </w:r>
          </w:p>
        </w:tc>
        <w:tc>
          <w:tcPr>
            <w:tcW w:w="1418" w:type="dxa"/>
            <w:vAlign w:val="center"/>
          </w:tcPr>
          <w:p w14:paraId="71190EBF">
            <w:pPr>
              <w:jc w:val="center"/>
              <w:rPr>
                <w:rFonts w:ascii="仿宋_GB2312" w:hAnsi="华文细黑" w:eastAsia="仿宋_GB2312"/>
                <w:color w:val="auto"/>
              </w:rPr>
            </w:pPr>
          </w:p>
        </w:tc>
      </w:tr>
      <w:tr w14:paraId="1878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7D098124">
            <w:pPr>
              <w:widowControl/>
              <w:jc w:val="center"/>
              <w:rPr>
                <w:rFonts w:ascii="仿宋_GB2312" w:hAnsi="华文细黑" w:eastAsia="仿宋_GB2312"/>
                <w:color w:val="auto"/>
              </w:rPr>
            </w:pPr>
          </w:p>
        </w:tc>
        <w:tc>
          <w:tcPr>
            <w:tcW w:w="1365" w:type="dxa"/>
            <w:vMerge w:val="continue"/>
            <w:vAlign w:val="center"/>
          </w:tcPr>
          <w:p w14:paraId="77563EB4">
            <w:pPr>
              <w:jc w:val="center"/>
              <w:rPr>
                <w:rFonts w:ascii="仿宋_GB2312" w:hAnsi="华文细黑" w:eastAsia="仿宋_GB2312" w:cs="仿宋"/>
                <w:color w:val="auto"/>
                <w:kern w:val="0"/>
                <w:szCs w:val="21"/>
              </w:rPr>
            </w:pPr>
          </w:p>
        </w:tc>
        <w:tc>
          <w:tcPr>
            <w:tcW w:w="2840" w:type="dxa"/>
            <w:vAlign w:val="center"/>
          </w:tcPr>
          <w:p w14:paraId="0AF52AB1">
            <w:pPr>
              <w:jc w:val="left"/>
              <w:rPr>
                <w:rFonts w:ascii="仿宋_GB2312" w:hAnsi="华文细黑" w:eastAsia="仿宋_GB2312" w:cs="仿宋"/>
                <w:color w:val="auto"/>
              </w:rPr>
            </w:pPr>
            <w:r>
              <w:rPr>
                <w:rFonts w:hint="eastAsia" w:ascii="仿宋_GB2312" w:hAnsi="华文细黑" w:eastAsia="仿宋_GB2312" w:cs="仿宋"/>
                <w:color w:val="auto"/>
              </w:rPr>
              <w:t>客户投诉</w:t>
            </w:r>
          </w:p>
        </w:tc>
        <w:tc>
          <w:tcPr>
            <w:tcW w:w="3271" w:type="dxa"/>
            <w:gridSpan w:val="2"/>
            <w:vAlign w:val="center"/>
          </w:tcPr>
          <w:p w14:paraId="1818EF96">
            <w:pPr>
              <w:jc w:val="left"/>
              <w:rPr>
                <w:rFonts w:ascii="仿宋_GB2312" w:hAnsi="华文细黑" w:eastAsia="仿宋_GB2312" w:cs="仿宋"/>
                <w:color w:val="auto"/>
              </w:rPr>
            </w:pPr>
            <w:r>
              <w:rPr>
                <w:rFonts w:hint="eastAsia" w:ascii="仿宋_GB2312" w:hAnsi="华文细黑" w:eastAsia="仿宋_GB2312" w:cs="仿宋"/>
                <w:color w:val="auto"/>
              </w:rPr>
              <w:t>每发生1起有效投诉，扣5分</w:t>
            </w:r>
          </w:p>
        </w:tc>
        <w:tc>
          <w:tcPr>
            <w:tcW w:w="1418" w:type="dxa"/>
            <w:vAlign w:val="center"/>
          </w:tcPr>
          <w:p w14:paraId="5D90EA79">
            <w:pPr>
              <w:jc w:val="center"/>
              <w:rPr>
                <w:rFonts w:ascii="仿宋_GB2312" w:hAnsi="华文细黑" w:eastAsia="仿宋_GB2312"/>
                <w:color w:val="auto"/>
              </w:rPr>
            </w:pPr>
          </w:p>
        </w:tc>
      </w:tr>
      <w:tr w14:paraId="5E380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735" w:type="dxa"/>
            <w:vMerge w:val="continue"/>
            <w:vAlign w:val="center"/>
          </w:tcPr>
          <w:p w14:paraId="6C337B61">
            <w:pPr>
              <w:widowControl/>
              <w:jc w:val="center"/>
              <w:rPr>
                <w:rFonts w:ascii="仿宋_GB2312" w:hAnsi="华文细黑" w:eastAsia="仿宋_GB2312"/>
                <w:color w:val="auto"/>
              </w:rPr>
            </w:pPr>
          </w:p>
        </w:tc>
        <w:tc>
          <w:tcPr>
            <w:tcW w:w="1365" w:type="dxa"/>
            <w:vMerge w:val="continue"/>
            <w:vAlign w:val="center"/>
          </w:tcPr>
          <w:p w14:paraId="5F8B00F2">
            <w:pPr>
              <w:jc w:val="center"/>
              <w:rPr>
                <w:rFonts w:ascii="仿宋_GB2312" w:hAnsi="华文细黑" w:eastAsia="仿宋_GB2312" w:cs="仿宋"/>
                <w:color w:val="auto"/>
                <w:kern w:val="0"/>
                <w:szCs w:val="21"/>
              </w:rPr>
            </w:pPr>
          </w:p>
        </w:tc>
        <w:tc>
          <w:tcPr>
            <w:tcW w:w="2840" w:type="dxa"/>
            <w:vAlign w:val="center"/>
          </w:tcPr>
          <w:p w14:paraId="575C236C">
            <w:pPr>
              <w:autoSpaceDE w:val="0"/>
              <w:autoSpaceDN w:val="0"/>
              <w:adjustRightInd w:val="0"/>
              <w:spacing w:line="276" w:lineRule="auto"/>
              <w:rPr>
                <w:rFonts w:ascii="仿宋_GB2312" w:hAnsi="华文细黑" w:eastAsia="仿宋_GB2312" w:cs="仿宋"/>
                <w:color w:val="auto"/>
                <w:szCs w:val="21"/>
              </w:rPr>
            </w:pPr>
            <w:r>
              <w:rPr>
                <w:rFonts w:hint="eastAsia" w:ascii="仿宋_GB2312" w:hAnsi="华文细黑" w:eastAsia="仿宋_GB2312" w:cs="仿宋"/>
                <w:color w:val="auto"/>
                <w:szCs w:val="21"/>
              </w:rPr>
              <w:t>发生重大质量事件、安全事故</w:t>
            </w:r>
          </w:p>
        </w:tc>
        <w:tc>
          <w:tcPr>
            <w:tcW w:w="3271" w:type="dxa"/>
            <w:gridSpan w:val="2"/>
            <w:vAlign w:val="center"/>
          </w:tcPr>
          <w:p w14:paraId="5FAFA2C4">
            <w:pPr>
              <w:autoSpaceDE w:val="0"/>
              <w:autoSpaceDN w:val="0"/>
              <w:adjustRightInd w:val="0"/>
              <w:spacing w:line="276" w:lineRule="auto"/>
              <w:rPr>
                <w:rFonts w:ascii="仿宋_GB2312" w:hAnsi="华文细黑" w:eastAsia="仿宋_GB2312" w:cs="仿宋"/>
                <w:color w:val="auto"/>
                <w:szCs w:val="21"/>
              </w:rPr>
            </w:pPr>
            <w:r>
              <w:rPr>
                <w:rFonts w:hint="eastAsia" w:ascii="仿宋_GB2312" w:hAnsi="华文细黑" w:eastAsia="仿宋_GB2312" w:cs="仿宋"/>
                <w:color w:val="auto"/>
                <w:szCs w:val="21"/>
              </w:rPr>
              <w:t>每发生1起重大质量事件、安全生产事故，扣10分</w:t>
            </w:r>
          </w:p>
        </w:tc>
        <w:tc>
          <w:tcPr>
            <w:tcW w:w="1418" w:type="dxa"/>
            <w:vAlign w:val="center"/>
          </w:tcPr>
          <w:p w14:paraId="08D5E58F">
            <w:pPr>
              <w:jc w:val="center"/>
              <w:rPr>
                <w:rFonts w:ascii="仿宋_GB2312" w:hAnsi="华文细黑" w:eastAsia="仿宋_GB2312"/>
                <w:color w:val="auto"/>
              </w:rPr>
            </w:pPr>
          </w:p>
        </w:tc>
      </w:tr>
      <w:tr w14:paraId="50B8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40FEF1CA">
            <w:pPr>
              <w:widowControl/>
              <w:jc w:val="center"/>
              <w:rPr>
                <w:rFonts w:ascii="仿宋_GB2312" w:hAnsi="华文细黑" w:eastAsia="仿宋_GB2312"/>
                <w:color w:val="auto"/>
              </w:rPr>
            </w:pPr>
          </w:p>
        </w:tc>
        <w:tc>
          <w:tcPr>
            <w:tcW w:w="1365" w:type="dxa"/>
            <w:vMerge w:val="restart"/>
            <w:vAlign w:val="center"/>
          </w:tcPr>
          <w:p w14:paraId="5780F19D">
            <w:pPr>
              <w:jc w:val="center"/>
              <w:rPr>
                <w:rFonts w:ascii="仿宋_GB2312" w:hAnsi="华文细黑" w:eastAsia="仿宋_GB2312" w:cs="仿宋"/>
                <w:color w:val="auto"/>
                <w:kern w:val="0"/>
                <w:szCs w:val="21"/>
              </w:rPr>
            </w:pPr>
            <w:r>
              <w:rPr>
                <w:rFonts w:hint="eastAsia" w:ascii="仿宋_GB2312" w:hAnsi="华文细黑" w:eastAsia="仿宋_GB2312" w:cs="仿宋"/>
                <w:color w:val="auto"/>
                <w:kern w:val="0"/>
                <w:szCs w:val="21"/>
              </w:rPr>
              <w:t>安全生产</w:t>
            </w:r>
          </w:p>
        </w:tc>
        <w:tc>
          <w:tcPr>
            <w:tcW w:w="2840" w:type="dxa"/>
            <w:vAlign w:val="center"/>
          </w:tcPr>
          <w:p w14:paraId="600A5EFD">
            <w:pPr>
              <w:autoSpaceDE w:val="0"/>
              <w:autoSpaceDN w:val="0"/>
              <w:adjustRightInd w:val="0"/>
              <w:spacing w:line="276" w:lineRule="auto"/>
              <w:rPr>
                <w:rFonts w:ascii="仿宋_GB2312" w:hAnsi="华文细黑" w:eastAsia="仿宋_GB2312" w:cs="仿宋"/>
                <w:color w:val="auto"/>
                <w:sz w:val="24"/>
                <w:szCs w:val="21"/>
              </w:rPr>
            </w:pPr>
            <w:r>
              <w:rPr>
                <w:rFonts w:hint="eastAsia" w:ascii="仿宋_GB2312" w:hAnsi="华文细黑" w:eastAsia="仿宋_GB2312" w:cs="仿宋"/>
                <w:color w:val="auto"/>
                <w:sz w:val="22"/>
                <w:szCs w:val="24"/>
              </w:rPr>
              <w:t>安全生产管理措施是否到位</w:t>
            </w:r>
          </w:p>
        </w:tc>
        <w:tc>
          <w:tcPr>
            <w:tcW w:w="3271" w:type="dxa"/>
            <w:gridSpan w:val="2"/>
            <w:vAlign w:val="center"/>
          </w:tcPr>
          <w:p w14:paraId="134FC220">
            <w:pPr>
              <w:autoSpaceDE w:val="0"/>
              <w:autoSpaceDN w:val="0"/>
              <w:adjustRightInd w:val="0"/>
              <w:spacing w:line="276" w:lineRule="auto"/>
              <w:rPr>
                <w:rFonts w:ascii="仿宋_GB2312" w:hAnsi="华文细黑" w:eastAsia="仿宋_GB2312" w:cs="仿宋"/>
                <w:color w:val="auto"/>
                <w:szCs w:val="21"/>
              </w:rPr>
            </w:pPr>
            <w:r>
              <w:rPr>
                <w:rFonts w:hint="eastAsia" w:ascii="仿宋_GB2312" w:hAnsi="华文细黑" w:eastAsia="仿宋_GB2312" w:cs="仿宋"/>
                <w:color w:val="auto"/>
                <w:sz w:val="22"/>
                <w:szCs w:val="21"/>
              </w:rPr>
              <w:t>每发生</w:t>
            </w:r>
            <w:r>
              <w:rPr>
                <w:rFonts w:ascii="仿宋_GB2312" w:hAnsi="华文细黑" w:eastAsia="仿宋_GB2312" w:cs="仿宋"/>
                <w:color w:val="auto"/>
                <w:sz w:val="22"/>
                <w:szCs w:val="21"/>
              </w:rPr>
              <w:t>1次安全隐患，扣</w:t>
            </w:r>
            <w:r>
              <w:rPr>
                <w:rFonts w:hint="eastAsia" w:ascii="仿宋_GB2312" w:hAnsi="华文细黑" w:eastAsia="仿宋_GB2312" w:cs="仿宋"/>
                <w:color w:val="auto"/>
                <w:sz w:val="22"/>
                <w:szCs w:val="21"/>
              </w:rPr>
              <w:t>2</w:t>
            </w:r>
            <w:r>
              <w:rPr>
                <w:rFonts w:ascii="仿宋_GB2312" w:hAnsi="华文细黑" w:eastAsia="仿宋_GB2312" w:cs="仿宋"/>
                <w:color w:val="auto"/>
                <w:sz w:val="22"/>
                <w:szCs w:val="21"/>
              </w:rPr>
              <w:t>分</w:t>
            </w:r>
          </w:p>
        </w:tc>
        <w:tc>
          <w:tcPr>
            <w:tcW w:w="1418" w:type="dxa"/>
            <w:vAlign w:val="center"/>
          </w:tcPr>
          <w:p w14:paraId="2A7996A0">
            <w:pPr>
              <w:jc w:val="center"/>
              <w:rPr>
                <w:rFonts w:ascii="仿宋_GB2312" w:hAnsi="华文细黑" w:eastAsia="仿宋_GB2312"/>
                <w:color w:val="auto"/>
              </w:rPr>
            </w:pPr>
          </w:p>
        </w:tc>
      </w:tr>
      <w:tr w14:paraId="370D4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4EE5C6FD">
            <w:pPr>
              <w:widowControl/>
              <w:jc w:val="center"/>
              <w:rPr>
                <w:rFonts w:ascii="仿宋_GB2312" w:hAnsi="华文细黑" w:eastAsia="仿宋_GB2312"/>
                <w:color w:val="auto"/>
              </w:rPr>
            </w:pPr>
          </w:p>
        </w:tc>
        <w:tc>
          <w:tcPr>
            <w:tcW w:w="1365" w:type="dxa"/>
            <w:vMerge w:val="continue"/>
            <w:vAlign w:val="center"/>
          </w:tcPr>
          <w:p w14:paraId="7CD1FD74">
            <w:pPr>
              <w:jc w:val="center"/>
              <w:rPr>
                <w:rFonts w:ascii="仿宋_GB2312" w:hAnsi="华文细黑" w:eastAsia="仿宋_GB2312" w:cs="仿宋"/>
                <w:color w:val="auto"/>
                <w:kern w:val="0"/>
                <w:szCs w:val="21"/>
              </w:rPr>
            </w:pPr>
          </w:p>
        </w:tc>
        <w:tc>
          <w:tcPr>
            <w:tcW w:w="2840" w:type="dxa"/>
            <w:vAlign w:val="center"/>
          </w:tcPr>
          <w:p w14:paraId="6A14E98F">
            <w:pPr>
              <w:autoSpaceDE w:val="0"/>
              <w:autoSpaceDN w:val="0"/>
              <w:adjustRightInd w:val="0"/>
              <w:spacing w:line="276" w:lineRule="auto"/>
              <w:rPr>
                <w:rFonts w:ascii="仿宋_GB2312" w:hAnsi="华文细黑" w:eastAsia="仿宋_GB2312" w:cs="仿宋"/>
                <w:color w:val="auto"/>
                <w:sz w:val="24"/>
                <w:szCs w:val="21"/>
              </w:rPr>
            </w:pPr>
            <w:r>
              <w:rPr>
                <w:rFonts w:hint="eastAsia" w:ascii="仿宋_GB2312" w:hAnsi="华文细黑" w:eastAsia="仿宋_GB2312" w:cs="仿宋"/>
                <w:color w:val="auto"/>
                <w:sz w:val="22"/>
                <w:szCs w:val="24"/>
              </w:rPr>
              <w:t>发生重大质量事件、安全事故</w:t>
            </w:r>
          </w:p>
        </w:tc>
        <w:tc>
          <w:tcPr>
            <w:tcW w:w="3271" w:type="dxa"/>
            <w:gridSpan w:val="2"/>
            <w:vAlign w:val="center"/>
          </w:tcPr>
          <w:p w14:paraId="7B954071">
            <w:pPr>
              <w:autoSpaceDE w:val="0"/>
              <w:autoSpaceDN w:val="0"/>
              <w:adjustRightInd w:val="0"/>
              <w:spacing w:line="276" w:lineRule="auto"/>
              <w:rPr>
                <w:rFonts w:ascii="仿宋_GB2312" w:hAnsi="华文细黑" w:eastAsia="仿宋_GB2312" w:cs="仿宋"/>
                <w:color w:val="auto"/>
                <w:szCs w:val="21"/>
              </w:rPr>
            </w:pPr>
            <w:r>
              <w:rPr>
                <w:rFonts w:hint="eastAsia" w:ascii="仿宋_GB2312" w:hAnsi="华文细黑" w:eastAsia="仿宋_GB2312" w:cs="仿宋"/>
                <w:color w:val="auto"/>
                <w:sz w:val="22"/>
                <w:szCs w:val="24"/>
              </w:rPr>
              <w:t>每发生1起重大质量事件、安全生产事故，扣10分</w:t>
            </w:r>
          </w:p>
        </w:tc>
        <w:tc>
          <w:tcPr>
            <w:tcW w:w="1418" w:type="dxa"/>
            <w:vAlign w:val="center"/>
          </w:tcPr>
          <w:p w14:paraId="069A8555">
            <w:pPr>
              <w:jc w:val="center"/>
              <w:rPr>
                <w:rFonts w:ascii="仿宋_GB2312" w:hAnsi="华文细黑" w:eastAsia="仿宋_GB2312"/>
                <w:color w:val="auto"/>
              </w:rPr>
            </w:pPr>
          </w:p>
        </w:tc>
      </w:tr>
      <w:tr w14:paraId="48BCD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2B022464">
            <w:pPr>
              <w:widowControl/>
              <w:jc w:val="center"/>
              <w:rPr>
                <w:rFonts w:ascii="仿宋_GB2312" w:hAnsi="华文细黑" w:eastAsia="仿宋_GB2312"/>
                <w:color w:val="auto"/>
              </w:rPr>
            </w:pPr>
          </w:p>
        </w:tc>
        <w:tc>
          <w:tcPr>
            <w:tcW w:w="1365" w:type="dxa"/>
            <w:vMerge w:val="restart"/>
            <w:vAlign w:val="center"/>
          </w:tcPr>
          <w:p w14:paraId="5E2C976C">
            <w:pPr>
              <w:jc w:val="center"/>
              <w:rPr>
                <w:rFonts w:ascii="仿宋_GB2312" w:hAnsi="华文细黑" w:eastAsia="仿宋_GB2312" w:cs="仿宋"/>
                <w:color w:val="auto"/>
                <w:szCs w:val="21"/>
              </w:rPr>
            </w:pPr>
            <w:r>
              <w:rPr>
                <w:rFonts w:hint="eastAsia" w:ascii="仿宋_GB2312" w:hAnsi="华文细黑" w:eastAsia="仿宋_GB2312" w:cs="仿宋"/>
                <w:color w:val="auto"/>
                <w:szCs w:val="21"/>
              </w:rPr>
              <w:t>协作</w:t>
            </w:r>
            <w:r>
              <w:rPr>
                <w:rFonts w:hint="eastAsia" w:ascii="仿宋_GB2312" w:hAnsi="华文细黑" w:eastAsia="仿宋_GB2312" w:cs="仿宋"/>
                <w:color w:val="auto"/>
                <w:kern w:val="0"/>
                <w:szCs w:val="21"/>
              </w:rPr>
              <w:t>配合</w:t>
            </w:r>
          </w:p>
        </w:tc>
        <w:tc>
          <w:tcPr>
            <w:tcW w:w="2840" w:type="dxa"/>
            <w:vAlign w:val="center"/>
          </w:tcPr>
          <w:p w14:paraId="4F7C3CA4">
            <w:pPr>
              <w:jc w:val="left"/>
              <w:rPr>
                <w:rFonts w:ascii="仿宋_GB2312" w:hAnsi="华文细黑" w:eastAsia="仿宋_GB2312"/>
                <w:color w:val="auto"/>
                <w:szCs w:val="21"/>
              </w:rPr>
            </w:pPr>
            <w:r>
              <w:rPr>
                <w:rFonts w:hint="eastAsia" w:ascii="仿宋_GB2312" w:hAnsi="华文细黑" w:eastAsia="仿宋_GB2312" w:cs="仿宋"/>
                <w:color w:val="auto"/>
                <w:szCs w:val="21"/>
              </w:rPr>
              <w:t>响应速度/服务及时性</w:t>
            </w:r>
          </w:p>
        </w:tc>
        <w:tc>
          <w:tcPr>
            <w:tcW w:w="3271" w:type="dxa"/>
            <w:gridSpan w:val="2"/>
            <w:vAlign w:val="center"/>
          </w:tcPr>
          <w:p w14:paraId="52941BD4">
            <w:pPr>
              <w:jc w:val="left"/>
              <w:rPr>
                <w:rFonts w:ascii="仿宋_GB2312" w:hAnsi="华文细黑" w:eastAsia="仿宋_GB2312"/>
                <w:color w:val="auto"/>
                <w:szCs w:val="21"/>
              </w:rPr>
            </w:pPr>
            <w:r>
              <w:rPr>
                <w:rFonts w:hint="eastAsia" w:ascii="仿宋_GB2312" w:hAnsi="华文细黑" w:eastAsia="仿宋_GB2312"/>
                <w:color w:val="auto"/>
                <w:szCs w:val="21"/>
              </w:rPr>
              <w:t>每发生１次延误，扣3分</w:t>
            </w:r>
          </w:p>
        </w:tc>
        <w:tc>
          <w:tcPr>
            <w:tcW w:w="1418" w:type="dxa"/>
            <w:vAlign w:val="center"/>
          </w:tcPr>
          <w:p w14:paraId="488363B3">
            <w:pPr>
              <w:jc w:val="center"/>
              <w:rPr>
                <w:rFonts w:ascii="仿宋_GB2312" w:hAnsi="华文细黑" w:eastAsia="仿宋_GB2312"/>
                <w:color w:val="auto"/>
              </w:rPr>
            </w:pPr>
          </w:p>
        </w:tc>
      </w:tr>
      <w:tr w14:paraId="70ED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5" w:type="dxa"/>
            <w:vMerge w:val="continue"/>
            <w:vAlign w:val="center"/>
          </w:tcPr>
          <w:p w14:paraId="5A96CAF6">
            <w:pPr>
              <w:widowControl/>
              <w:jc w:val="center"/>
              <w:rPr>
                <w:rFonts w:ascii="仿宋_GB2312" w:hAnsi="华文细黑" w:eastAsia="仿宋_GB2312"/>
                <w:color w:val="auto"/>
              </w:rPr>
            </w:pPr>
          </w:p>
        </w:tc>
        <w:tc>
          <w:tcPr>
            <w:tcW w:w="1365" w:type="dxa"/>
            <w:vMerge w:val="continue"/>
            <w:vAlign w:val="center"/>
          </w:tcPr>
          <w:p w14:paraId="7FCF8EF5">
            <w:pPr>
              <w:jc w:val="center"/>
              <w:rPr>
                <w:rFonts w:ascii="仿宋_GB2312" w:hAnsi="华文细黑" w:eastAsia="仿宋_GB2312" w:cs="仿宋"/>
                <w:color w:val="auto"/>
              </w:rPr>
            </w:pPr>
          </w:p>
        </w:tc>
        <w:tc>
          <w:tcPr>
            <w:tcW w:w="2840" w:type="dxa"/>
            <w:vAlign w:val="center"/>
          </w:tcPr>
          <w:p w14:paraId="53F8F8FA">
            <w:pPr>
              <w:jc w:val="left"/>
              <w:rPr>
                <w:rFonts w:ascii="仿宋_GB2312" w:hAnsi="华文细黑" w:eastAsia="仿宋_GB2312"/>
                <w:color w:val="auto"/>
              </w:rPr>
            </w:pPr>
            <w:r>
              <w:rPr>
                <w:rFonts w:hint="eastAsia" w:ascii="仿宋_GB2312" w:hAnsi="华文细黑" w:eastAsia="仿宋_GB2312" w:cs="仿宋"/>
                <w:color w:val="auto"/>
                <w:szCs w:val="21"/>
              </w:rPr>
              <w:t>服务文件归档</w:t>
            </w:r>
          </w:p>
        </w:tc>
        <w:tc>
          <w:tcPr>
            <w:tcW w:w="3271" w:type="dxa"/>
            <w:gridSpan w:val="2"/>
            <w:vAlign w:val="center"/>
          </w:tcPr>
          <w:p w14:paraId="157CC9FF">
            <w:pPr>
              <w:jc w:val="left"/>
              <w:rPr>
                <w:rFonts w:ascii="仿宋_GB2312" w:hAnsi="华文细黑" w:eastAsia="仿宋_GB2312"/>
                <w:color w:val="auto"/>
              </w:rPr>
            </w:pPr>
            <w:r>
              <w:rPr>
                <w:rFonts w:hint="eastAsia" w:ascii="仿宋_GB2312" w:hAnsi="华文细黑" w:eastAsia="仿宋_GB2312"/>
                <w:color w:val="auto"/>
              </w:rPr>
              <w:t>每发现１次文件记录有误，扣2分</w:t>
            </w:r>
          </w:p>
        </w:tc>
        <w:tc>
          <w:tcPr>
            <w:tcW w:w="1418" w:type="dxa"/>
            <w:vAlign w:val="center"/>
          </w:tcPr>
          <w:p w14:paraId="4B47E636">
            <w:pPr>
              <w:jc w:val="center"/>
              <w:rPr>
                <w:rFonts w:ascii="仿宋_GB2312" w:hAnsi="华文细黑" w:eastAsia="仿宋_GB2312"/>
                <w:color w:val="auto"/>
              </w:rPr>
            </w:pPr>
          </w:p>
        </w:tc>
      </w:tr>
      <w:tr w14:paraId="3D255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35" w:type="dxa"/>
            <w:vMerge w:val="continue"/>
            <w:vAlign w:val="center"/>
          </w:tcPr>
          <w:p w14:paraId="5B72C130">
            <w:pPr>
              <w:widowControl/>
              <w:jc w:val="center"/>
              <w:rPr>
                <w:rFonts w:ascii="仿宋_GB2312" w:hAnsi="华文细黑" w:eastAsia="仿宋_GB2312"/>
                <w:color w:val="auto"/>
              </w:rPr>
            </w:pPr>
          </w:p>
        </w:tc>
        <w:tc>
          <w:tcPr>
            <w:tcW w:w="1365" w:type="dxa"/>
            <w:vAlign w:val="center"/>
          </w:tcPr>
          <w:p w14:paraId="0057EBC1">
            <w:pPr>
              <w:jc w:val="center"/>
              <w:rPr>
                <w:rFonts w:ascii="仿宋_GB2312" w:hAnsi="华文细黑" w:eastAsia="仿宋_GB2312" w:cs="仿宋"/>
                <w:color w:val="auto"/>
              </w:rPr>
            </w:pPr>
            <w:r>
              <w:rPr>
                <w:rFonts w:hint="eastAsia" w:ascii="仿宋_GB2312" w:hAnsi="华文细黑" w:eastAsia="仿宋_GB2312" w:cs="仿宋"/>
                <w:color w:val="auto"/>
              </w:rPr>
              <w:t>综合得分</w:t>
            </w:r>
          </w:p>
        </w:tc>
        <w:tc>
          <w:tcPr>
            <w:tcW w:w="6111" w:type="dxa"/>
            <w:gridSpan w:val="3"/>
            <w:vAlign w:val="center"/>
          </w:tcPr>
          <w:p w14:paraId="6E3898CE">
            <w:pPr>
              <w:jc w:val="right"/>
              <w:rPr>
                <w:rFonts w:ascii="仿宋_GB2312" w:hAnsi="华文细黑" w:eastAsia="仿宋_GB2312"/>
                <w:color w:val="auto"/>
              </w:rPr>
            </w:pPr>
            <w:r>
              <w:rPr>
                <w:rFonts w:hint="eastAsia" w:ascii="仿宋_GB2312" w:hAnsi="华文细黑" w:eastAsia="仿宋_GB2312"/>
                <w:color w:val="auto"/>
              </w:rPr>
              <w:t>合计扣分</w:t>
            </w:r>
          </w:p>
        </w:tc>
        <w:tc>
          <w:tcPr>
            <w:tcW w:w="1418" w:type="dxa"/>
            <w:vAlign w:val="center"/>
          </w:tcPr>
          <w:p w14:paraId="5E8EF6D1">
            <w:pPr>
              <w:jc w:val="center"/>
              <w:rPr>
                <w:rFonts w:ascii="仿宋_GB2312" w:hAnsi="华文细黑" w:eastAsia="仿宋_GB2312"/>
                <w:color w:val="auto"/>
              </w:rPr>
            </w:pPr>
          </w:p>
        </w:tc>
      </w:tr>
      <w:tr w14:paraId="1102C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735" w:type="dxa"/>
            <w:vMerge w:val="continue"/>
            <w:vAlign w:val="center"/>
          </w:tcPr>
          <w:p w14:paraId="397B350C">
            <w:pPr>
              <w:widowControl/>
              <w:jc w:val="center"/>
              <w:rPr>
                <w:rFonts w:ascii="仿宋_GB2312" w:hAnsi="华文细黑" w:eastAsia="仿宋_GB2312"/>
                <w:color w:val="auto"/>
              </w:rPr>
            </w:pPr>
          </w:p>
        </w:tc>
        <w:tc>
          <w:tcPr>
            <w:tcW w:w="1365" w:type="dxa"/>
            <w:vAlign w:val="center"/>
          </w:tcPr>
          <w:p w14:paraId="592DC053">
            <w:pPr>
              <w:jc w:val="center"/>
              <w:rPr>
                <w:rFonts w:ascii="仿宋_GB2312" w:hAnsi="华文细黑" w:eastAsia="仿宋_GB2312" w:cs="仿宋"/>
                <w:color w:val="auto"/>
              </w:rPr>
            </w:pPr>
            <w:r>
              <w:rPr>
                <w:rFonts w:hint="eastAsia" w:ascii="仿宋_GB2312" w:hAnsi="华文细黑" w:eastAsia="仿宋_GB2312" w:cs="仿宋"/>
                <w:color w:val="auto"/>
              </w:rPr>
              <w:t>综合得分</w:t>
            </w:r>
          </w:p>
        </w:tc>
        <w:tc>
          <w:tcPr>
            <w:tcW w:w="7529" w:type="dxa"/>
            <w:gridSpan w:val="4"/>
            <w:vAlign w:val="center"/>
          </w:tcPr>
          <w:p w14:paraId="130B8FC7">
            <w:pPr>
              <w:jc w:val="left"/>
              <w:rPr>
                <w:rFonts w:ascii="仿宋_GB2312" w:hAnsi="华文细黑" w:eastAsia="仿宋_GB2312"/>
                <w:color w:val="auto"/>
                <w:sz w:val="24"/>
              </w:rPr>
            </w:pPr>
            <w:r>
              <w:rPr>
                <w:rFonts w:hint="eastAsia" w:ascii="仿宋_GB2312" w:hAnsi="华文细黑" w:eastAsia="仿宋_GB2312"/>
                <w:color w:val="auto"/>
                <w:sz w:val="24"/>
              </w:rPr>
              <w:t>采用百分倒扣评分制，减除所扣分数，最后得分：</w:t>
            </w:r>
          </w:p>
          <w:p w14:paraId="75BB0FE1">
            <w:pPr>
              <w:jc w:val="left"/>
              <w:rPr>
                <w:rFonts w:ascii="仿宋_GB2312" w:hAnsi="华文细黑" w:eastAsia="仿宋_GB2312"/>
                <w:color w:val="auto"/>
              </w:rPr>
            </w:pPr>
          </w:p>
          <w:p w14:paraId="198CB4DE">
            <w:pPr>
              <w:jc w:val="left"/>
              <w:rPr>
                <w:rFonts w:ascii="仿宋_GB2312" w:hAnsi="华文细黑" w:eastAsia="仿宋_GB2312"/>
                <w:color w:val="auto"/>
              </w:rPr>
            </w:pPr>
            <w:r>
              <w:rPr>
                <w:rFonts w:hint="eastAsia" w:ascii="仿宋_GB2312" w:hAnsi="华文细黑" w:eastAsia="仿宋_GB2312"/>
                <w:color w:val="auto"/>
              </w:rPr>
              <w:t>注：合格分数线：85分</w:t>
            </w:r>
          </w:p>
        </w:tc>
      </w:tr>
      <w:tr w14:paraId="19AD5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735" w:type="dxa"/>
            <w:vMerge w:val="continue"/>
            <w:vAlign w:val="center"/>
          </w:tcPr>
          <w:p w14:paraId="51FBFCC7">
            <w:pPr>
              <w:widowControl/>
              <w:jc w:val="center"/>
              <w:rPr>
                <w:rFonts w:ascii="仿宋_GB2312" w:hAnsi="华文细黑" w:eastAsia="仿宋_GB2312"/>
                <w:color w:val="auto"/>
              </w:rPr>
            </w:pPr>
          </w:p>
        </w:tc>
        <w:tc>
          <w:tcPr>
            <w:tcW w:w="1365" w:type="dxa"/>
            <w:vAlign w:val="center"/>
          </w:tcPr>
          <w:p w14:paraId="5E78EBF3">
            <w:pPr>
              <w:jc w:val="center"/>
              <w:rPr>
                <w:rFonts w:ascii="仿宋_GB2312" w:hAnsi="华文细黑" w:eastAsia="仿宋_GB2312" w:cs="仿宋"/>
                <w:color w:val="auto"/>
              </w:rPr>
            </w:pPr>
            <w:r>
              <w:rPr>
                <w:rFonts w:hint="eastAsia" w:ascii="仿宋_GB2312" w:hAnsi="华文细黑" w:eastAsia="仿宋_GB2312" w:cs="仿宋"/>
                <w:color w:val="auto"/>
              </w:rPr>
              <w:t>评价部门评语</w:t>
            </w:r>
          </w:p>
        </w:tc>
        <w:tc>
          <w:tcPr>
            <w:tcW w:w="7529" w:type="dxa"/>
            <w:gridSpan w:val="4"/>
            <w:vAlign w:val="center"/>
          </w:tcPr>
          <w:p w14:paraId="75FD5625">
            <w:pPr>
              <w:jc w:val="left"/>
              <w:rPr>
                <w:rFonts w:ascii="仿宋_GB2312" w:hAnsi="华文细黑" w:eastAsia="仿宋_GB2312"/>
                <w:color w:val="auto"/>
              </w:rPr>
            </w:pPr>
          </w:p>
        </w:tc>
      </w:tr>
      <w:tr w14:paraId="7B96E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735" w:type="dxa"/>
            <w:vMerge w:val="continue"/>
            <w:vAlign w:val="center"/>
          </w:tcPr>
          <w:p w14:paraId="5FB3FEB4">
            <w:pPr>
              <w:widowControl/>
              <w:jc w:val="center"/>
              <w:rPr>
                <w:rFonts w:ascii="仿宋_GB2312" w:hAnsi="华文细黑" w:eastAsia="仿宋_GB2312"/>
                <w:color w:val="auto"/>
              </w:rPr>
            </w:pPr>
          </w:p>
        </w:tc>
        <w:tc>
          <w:tcPr>
            <w:tcW w:w="1365" w:type="dxa"/>
            <w:vAlign w:val="center"/>
          </w:tcPr>
          <w:p w14:paraId="28E513E4">
            <w:pPr>
              <w:jc w:val="center"/>
              <w:rPr>
                <w:rFonts w:ascii="仿宋_GB2312" w:hAnsi="华文细黑" w:eastAsia="仿宋_GB2312" w:cs="仿宋"/>
                <w:color w:val="auto"/>
              </w:rPr>
            </w:pPr>
            <w:r>
              <w:rPr>
                <w:rFonts w:hint="eastAsia" w:ascii="仿宋_GB2312" w:hAnsi="华文细黑" w:eastAsia="仿宋_GB2312" w:cs="仿宋"/>
                <w:color w:val="auto"/>
              </w:rPr>
              <w:t>评价人</w:t>
            </w:r>
          </w:p>
        </w:tc>
        <w:tc>
          <w:tcPr>
            <w:tcW w:w="3991" w:type="dxa"/>
            <w:gridSpan w:val="2"/>
            <w:vAlign w:val="center"/>
          </w:tcPr>
          <w:p w14:paraId="194281C9">
            <w:pPr>
              <w:jc w:val="center"/>
              <w:rPr>
                <w:rFonts w:ascii="仿宋_GB2312" w:hAnsi="华文细黑" w:eastAsia="仿宋_GB2312"/>
                <w:color w:val="auto"/>
              </w:rPr>
            </w:pPr>
          </w:p>
        </w:tc>
        <w:tc>
          <w:tcPr>
            <w:tcW w:w="3538" w:type="dxa"/>
            <w:gridSpan w:val="2"/>
            <w:vAlign w:val="center"/>
          </w:tcPr>
          <w:p w14:paraId="5B4119C0">
            <w:pPr>
              <w:jc w:val="left"/>
              <w:rPr>
                <w:rFonts w:ascii="仿宋_GB2312" w:hAnsi="华文细黑" w:eastAsia="仿宋_GB2312"/>
                <w:color w:val="auto"/>
              </w:rPr>
            </w:pPr>
            <w:r>
              <w:rPr>
                <w:rFonts w:hint="eastAsia" w:ascii="仿宋_GB2312" w:hAnsi="华文细黑" w:eastAsia="仿宋_GB2312"/>
                <w:color w:val="auto"/>
              </w:rPr>
              <w:t>部门审批</w:t>
            </w:r>
          </w:p>
        </w:tc>
      </w:tr>
    </w:tbl>
    <w:p w14:paraId="02E8603E">
      <w:pPr>
        <w:spacing w:line="520" w:lineRule="atLeast"/>
        <w:rPr>
          <w:rFonts w:cs="Arial"/>
          <w:color w:val="auto"/>
          <w:sz w:val="30"/>
          <w:szCs w:val="30"/>
        </w:rPr>
      </w:pPr>
    </w:p>
    <w:p w14:paraId="138A49EE">
      <w:pPr>
        <w:rPr>
          <w:rFonts w:ascii="仿宋_GB2312" w:hAnsi="华文细黑" w:eastAsia="仿宋_GB2312"/>
          <w:b/>
          <w:color w:val="auto"/>
          <w:sz w:val="32"/>
        </w:rPr>
      </w:pPr>
      <w:r>
        <w:rPr>
          <w:rFonts w:hint="eastAsia" w:ascii="仿宋_GB2312" w:hAnsi="华文细黑" w:eastAsia="仿宋_GB2312"/>
          <w:b/>
          <w:color w:val="auto"/>
          <w:sz w:val="32"/>
        </w:rPr>
        <w:br w:type="page"/>
      </w:r>
      <w:r>
        <w:rPr>
          <w:rFonts w:hint="eastAsia" w:ascii="仿宋" w:hAnsi="仿宋" w:eastAsia="仿宋"/>
          <w:b/>
          <w:bCs/>
          <w:color w:val="auto"/>
          <w:sz w:val="30"/>
          <w:szCs w:val="30"/>
        </w:rPr>
        <w:t>附件七：年度履约评价表</w:t>
      </w:r>
    </w:p>
    <w:p w14:paraId="48225604">
      <w:pPr>
        <w:jc w:val="center"/>
        <w:rPr>
          <w:rFonts w:ascii="仿宋_GB2312" w:hAnsi="华文细黑" w:eastAsia="仿宋_GB2312"/>
          <w:b/>
          <w:color w:val="auto"/>
          <w:sz w:val="32"/>
        </w:rPr>
      </w:pPr>
      <w:r>
        <w:rPr>
          <w:rFonts w:hint="eastAsia" w:ascii="仿宋_GB2312" w:hAnsi="华文细黑" w:eastAsia="仿宋_GB2312"/>
          <w:b/>
          <w:color w:val="auto"/>
          <w:sz w:val="32"/>
        </w:rPr>
        <w:t>中马广场项目消防系统维保年度履约评价表</w:t>
      </w:r>
    </w:p>
    <w:p w14:paraId="355E9221">
      <w:pPr>
        <w:rPr>
          <w:rFonts w:ascii="仿宋_GB2312" w:eastAsia="仿宋_GB2312"/>
          <w:color w:val="auto"/>
        </w:rPr>
      </w:pPr>
      <w:r>
        <w:rPr>
          <w:rFonts w:hint="eastAsia" w:ascii="仿宋_GB2312" w:eastAsia="仿宋_GB2312"/>
          <w:color w:val="auto"/>
        </w:rPr>
        <w:t xml:space="preserve">评价项目：                              </w:t>
      </w:r>
      <w:r>
        <w:rPr>
          <w:rFonts w:hint="eastAsia" w:ascii="仿宋_GB2312" w:hAnsi="华文细黑" w:eastAsia="仿宋_GB2312"/>
          <w:color w:val="auto"/>
        </w:rPr>
        <w:t>专业分类：</w:t>
      </w:r>
    </w:p>
    <w:tbl>
      <w:tblPr>
        <w:tblStyle w:val="10"/>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1350"/>
        <w:gridCol w:w="1159"/>
        <w:gridCol w:w="192"/>
        <w:gridCol w:w="1284"/>
        <w:gridCol w:w="1034"/>
        <w:gridCol w:w="100"/>
        <w:gridCol w:w="1205"/>
        <w:gridCol w:w="1205"/>
      </w:tblGrid>
      <w:tr w14:paraId="75BC8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29" w:type="dxa"/>
            <w:gridSpan w:val="9"/>
            <w:vAlign w:val="center"/>
          </w:tcPr>
          <w:p w14:paraId="6917C0C3">
            <w:pPr>
              <w:rPr>
                <w:rFonts w:ascii="仿宋_GB2312" w:hAnsi="华文细黑" w:eastAsia="仿宋_GB2312"/>
                <w:color w:val="auto"/>
                <w:u w:val="single"/>
              </w:rPr>
            </w:pPr>
            <w:r>
              <w:rPr>
                <w:rFonts w:hint="eastAsia" w:ascii="仿宋_GB2312" w:hAnsi="华文细黑" w:eastAsia="仿宋_GB2312"/>
                <w:color w:val="auto"/>
              </w:rPr>
              <w:t xml:space="preserve">供方名称：                                       </w:t>
            </w:r>
          </w:p>
        </w:tc>
      </w:tr>
      <w:tr w14:paraId="7CA93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29" w:type="dxa"/>
            <w:gridSpan w:val="9"/>
            <w:vAlign w:val="center"/>
          </w:tcPr>
          <w:p w14:paraId="39F36691">
            <w:pPr>
              <w:rPr>
                <w:rFonts w:ascii="仿宋_GB2312" w:hAnsi="华文细黑" w:eastAsia="仿宋_GB2312"/>
                <w:color w:val="auto"/>
              </w:rPr>
            </w:pPr>
            <w:r>
              <w:rPr>
                <w:rFonts w:hint="eastAsia" w:ascii="仿宋_GB2312" w:hAnsi="华文细黑" w:eastAsia="仿宋_GB2312"/>
                <w:color w:val="auto"/>
              </w:rPr>
              <w:t>年度评价类型：</w:t>
            </w:r>
            <w:r>
              <w:rPr>
                <w:rFonts w:hint="eastAsia" w:ascii="仿宋_GB2312" w:hAnsi="华文细黑" w:eastAsia="仿宋_GB2312"/>
                <w:color w:val="auto"/>
              </w:rPr>
              <w:fldChar w:fldCharType="begin">
                <w:ffData>
                  <w:name w:val="Check2"/>
                  <w:enabled/>
                  <w:calcOnExit w:val="0"/>
                  <w:checkBox>
                    <w:sizeAuto/>
                    <w:default w:val="0"/>
                    <w:checked w:val="0"/>
                  </w:checkBox>
                </w:ffData>
              </w:fldChar>
            </w:r>
            <w:r>
              <w:rPr>
                <w:rFonts w:hint="eastAsia" w:ascii="仿宋_GB2312" w:hAnsi="华文细黑" w:eastAsia="仿宋_GB2312"/>
                <w:color w:val="auto"/>
              </w:rPr>
              <w:instrText xml:space="preserve">FORMCHECKBOX</w:instrText>
            </w:r>
            <w:r>
              <w:rPr>
                <w:rFonts w:ascii="仿宋_GB2312" w:hAnsi="华文细黑" w:eastAsia="仿宋_GB2312"/>
                <w:color w:val="auto"/>
              </w:rPr>
              <w:fldChar w:fldCharType="separate"/>
            </w:r>
            <w:r>
              <w:rPr>
                <w:rFonts w:hint="eastAsia" w:ascii="仿宋_GB2312" w:hAnsi="华文细黑" w:eastAsia="仿宋_GB2312"/>
                <w:color w:val="auto"/>
              </w:rPr>
              <w:fldChar w:fldCharType="end"/>
            </w:r>
            <w:r>
              <w:rPr>
                <w:rFonts w:hint="eastAsia" w:ascii="仿宋_GB2312" w:hAnsi="华文细黑" w:eastAsia="仿宋_GB2312"/>
                <w:color w:val="auto"/>
              </w:rPr>
              <w:t xml:space="preserve">长期合同期满一年   </w:t>
            </w:r>
            <w:r>
              <w:rPr>
                <w:rFonts w:hint="eastAsia" w:ascii="仿宋_GB2312" w:hAnsi="华文细黑" w:eastAsia="仿宋_GB2312"/>
                <w:color w:val="auto"/>
              </w:rPr>
              <w:fldChar w:fldCharType="begin">
                <w:ffData>
                  <w:name w:val="Check2"/>
                  <w:enabled/>
                  <w:calcOnExit w:val="0"/>
                  <w:checkBox>
                    <w:sizeAuto/>
                    <w:default w:val="0"/>
                    <w:checked w:val="0"/>
                  </w:checkBox>
                </w:ffData>
              </w:fldChar>
            </w:r>
            <w:r>
              <w:rPr>
                <w:rFonts w:hint="eastAsia" w:ascii="仿宋_GB2312" w:hAnsi="华文细黑" w:eastAsia="仿宋_GB2312"/>
                <w:color w:val="auto"/>
              </w:rPr>
              <w:instrText xml:space="preserve">FORMCHECKBOX</w:instrText>
            </w:r>
            <w:r>
              <w:rPr>
                <w:rFonts w:ascii="仿宋_GB2312" w:hAnsi="华文细黑" w:eastAsia="仿宋_GB2312"/>
                <w:color w:val="auto"/>
              </w:rPr>
              <w:fldChar w:fldCharType="separate"/>
            </w:r>
            <w:r>
              <w:rPr>
                <w:rFonts w:hint="eastAsia" w:ascii="仿宋_GB2312" w:hAnsi="华文细黑" w:eastAsia="仿宋_GB2312"/>
                <w:color w:val="auto"/>
              </w:rPr>
              <w:fldChar w:fldCharType="end"/>
            </w:r>
            <w:r>
              <w:rPr>
                <w:rFonts w:hint="eastAsia" w:ascii="仿宋_GB2312" w:hAnsi="华文细黑" w:eastAsia="仿宋_GB2312" w:cs="仿宋"/>
                <w:color w:val="auto"/>
              </w:rPr>
              <w:t>合同期结算、在支付最后一笔款项前</w:t>
            </w:r>
          </w:p>
        </w:tc>
      </w:tr>
      <w:tr w14:paraId="3E3B3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29" w:type="dxa"/>
            <w:gridSpan w:val="9"/>
            <w:vAlign w:val="center"/>
          </w:tcPr>
          <w:p w14:paraId="15548981">
            <w:pPr>
              <w:rPr>
                <w:rFonts w:ascii="仿宋_GB2312" w:hAnsi="华文细黑" w:eastAsia="仿宋_GB2312"/>
                <w:color w:val="auto"/>
              </w:rPr>
            </w:pPr>
            <w:r>
              <w:rPr>
                <w:rFonts w:hint="eastAsia" w:ascii="仿宋_GB2312" w:hAnsi="华文细黑" w:eastAsia="仿宋_GB2312"/>
                <w:color w:val="auto"/>
              </w:rPr>
              <w:t>服务范围：</w:t>
            </w:r>
          </w:p>
        </w:tc>
      </w:tr>
      <w:tr w14:paraId="00861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629" w:type="dxa"/>
            <w:gridSpan w:val="9"/>
            <w:vAlign w:val="center"/>
          </w:tcPr>
          <w:p w14:paraId="2F0B86B4">
            <w:pPr>
              <w:rPr>
                <w:rFonts w:ascii="仿宋_GB2312" w:hAnsi="华文细黑" w:eastAsia="仿宋_GB2312"/>
                <w:color w:val="auto"/>
              </w:rPr>
            </w:pPr>
            <w:r>
              <w:rPr>
                <w:rFonts w:hint="eastAsia" w:ascii="仿宋_GB2312" w:hAnsi="华文细黑" w:eastAsia="仿宋_GB2312"/>
                <w:color w:val="auto"/>
              </w:rPr>
              <w:t xml:space="preserve">合同周期：                                       </w:t>
            </w:r>
          </w:p>
        </w:tc>
      </w:tr>
      <w:tr w14:paraId="24CCA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629" w:type="dxa"/>
            <w:gridSpan w:val="9"/>
            <w:vAlign w:val="center"/>
          </w:tcPr>
          <w:p w14:paraId="5C1DE05C">
            <w:pPr>
              <w:rPr>
                <w:rFonts w:ascii="仿宋_GB2312" w:hAnsi="华文细黑" w:eastAsia="仿宋_GB2312"/>
                <w:color w:val="auto"/>
              </w:rPr>
            </w:pPr>
            <w:r>
              <w:rPr>
                <w:rFonts w:hint="eastAsia" w:ascii="仿宋_GB2312" w:hAnsi="华文细黑" w:eastAsia="仿宋_GB2312"/>
                <w:color w:val="auto"/>
              </w:rPr>
              <w:t>日常履约评价周期：</w:t>
            </w:r>
            <w:r>
              <w:rPr>
                <w:rFonts w:hint="eastAsia" w:ascii="仿宋_GB2312" w:hAnsi="华文细黑" w:eastAsia="仿宋_GB2312"/>
                <w:color w:val="auto"/>
              </w:rPr>
              <w:fldChar w:fldCharType="begin">
                <w:ffData>
                  <w:name w:val="Check2"/>
                  <w:enabled/>
                  <w:calcOnExit w:val="0"/>
                  <w:checkBox>
                    <w:sizeAuto/>
                    <w:default w:val="0"/>
                    <w:checked w:val="0"/>
                  </w:checkBox>
                </w:ffData>
              </w:fldChar>
            </w:r>
            <w:r>
              <w:rPr>
                <w:rFonts w:hint="eastAsia" w:ascii="仿宋_GB2312" w:hAnsi="华文细黑" w:eastAsia="仿宋_GB2312"/>
                <w:color w:val="auto"/>
              </w:rPr>
              <w:instrText xml:space="preserve">FORMCHECKBOX</w:instrText>
            </w:r>
            <w:r>
              <w:rPr>
                <w:rFonts w:ascii="仿宋_GB2312" w:hAnsi="华文细黑" w:eastAsia="仿宋_GB2312"/>
                <w:color w:val="auto"/>
              </w:rPr>
              <w:fldChar w:fldCharType="separate"/>
            </w:r>
            <w:r>
              <w:rPr>
                <w:rFonts w:hint="eastAsia" w:ascii="仿宋_GB2312" w:hAnsi="华文细黑" w:eastAsia="仿宋_GB2312"/>
                <w:color w:val="auto"/>
              </w:rPr>
              <w:fldChar w:fldCharType="end"/>
            </w:r>
            <w:r>
              <w:rPr>
                <w:rFonts w:hint="eastAsia" w:ascii="仿宋_GB2312" w:hAnsi="华文细黑" w:eastAsia="仿宋_GB2312"/>
                <w:color w:val="auto"/>
              </w:rPr>
              <w:t xml:space="preserve">月评   </w:t>
            </w:r>
            <w:r>
              <w:rPr>
                <w:rFonts w:hint="eastAsia" w:ascii="仿宋_GB2312" w:hAnsi="华文细黑" w:eastAsia="仿宋_GB2312"/>
                <w:color w:val="auto"/>
              </w:rPr>
              <w:fldChar w:fldCharType="begin">
                <w:ffData>
                  <w:name w:val="Check2"/>
                  <w:enabled/>
                  <w:calcOnExit w:val="0"/>
                  <w:checkBox>
                    <w:sizeAuto/>
                    <w:default w:val="0"/>
                    <w:checked w:val="0"/>
                  </w:checkBox>
                </w:ffData>
              </w:fldChar>
            </w:r>
            <w:r>
              <w:rPr>
                <w:rFonts w:hint="eastAsia" w:ascii="仿宋_GB2312" w:hAnsi="华文细黑" w:eastAsia="仿宋_GB2312"/>
                <w:color w:val="auto"/>
              </w:rPr>
              <w:instrText xml:space="preserve">FORMCHECKBOX</w:instrText>
            </w:r>
            <w:r>
              <w:rPr>
                <w:rFonts w:ascii="仿宋_GB2312" w:hAnsi="华文细黑" w:eastAsia="仿宋_GB2312"/>
                <w:color w:val="auto"/>
              </w:rPr>
              <w:fldChar w:fldCharType="separate"/>
            </w:r>
            <w:r>
              <w:rPr>
                <w:rFonts w:hint="eastAsia" w:ascii="仿宋_GB2312" w:hAnsi="华文细黑" w:eastAsia="仿宋_GB2312"/>
                <w:color w:val="auto"/>
              </w:rPr>
              <w:fldChar w:fldCharType="end"/>
            </w:r>
            <w:r>
              <w:rPr>
                <w:rFonts w:hint="eastAsia" w:ascii="仿宋_GB2312" w:hAnsi="华文细黑" w:eastAsia="仿宋_GB2312"/>
                <w:color w:val="auto"/>
              </w:rPr>
              <w:t xml:space="preserve">季评   </w:t>
            </w:r>
            <w:r>
              <w:rPr>
                <w:rFonts w:hint="eastAsia" w:ascii="仿宋_GB2312" w:hAnsi="华文细黑" w:eastAsia="仿宋_GB2312"/>
                <w:color w:val="auto"/>
              </w:rPr>
              <w:fldChar w:fldCharType="begin">
                <w:ffData>
                  <w:name w:val="Check2"/>
                  <w:enabled/>
                  <w:calcOnExit w:val="0"/>
                  <w:checkBox>
                    <w:sizeAuto/>
                    <w:default w:val="0"/>
                    <w:checked w:val="0"/>
                  </w:checkBox>
                </w:ffData>
              </w:fldChar>
            </w:r>
            <w:r>
              <w:rPr>
                <w:rFonts w:hint="eastAsia" w:ascii="仿宋_GB2312" w:hAnsi="华文细黑" w:eastAsia="仿宋_GB2312"/>
                <w:color w:val="auto"/>
              </w:rPr>
              <w:instrText xml:space="preserve">FORMCHECKBOX</w:instrText>
            </w:r>
            <w:r>
              <w:rPr>
                <w:rFonts w:ascii="仿宋_GB2312" w:hAnsi="华文细黑" w:eastAsia="仿宋_GB2312"/>
                <w:color w:val="auto"/>
              </w:rPr>
              <w:fldChar w:fldCharType="separate"/>
            </w:r>
            <w:r>
              <w:rPr>
                <w:rFonts w:hint="eastAsia" w:ascii="仿宋_GB2312" w:hAnsi="华文细黑" w:eastAsia="仿宋_GB2312"/>
                <w:color w:val="auto"/>
              </w:rPr>
              <w:fldChar w:fldCharType="end"/>
            </w:r>
            <w:r>
              <w:rPr>
                <w:rFonts w:hint="eastAsia" w:ascii="仿宋_GB2312" w:hAnsi="华文细黑" w:eastAsia="仿宋_GB2312"/>
                <w:color w:val="auto"/>
              </w:rPr>
              <w:t>半年评</w:t>
            </w:r>
          </w:p>
        </w:tc>
      </w:tr>
      <w:tr w14:paraId="4A87B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restart"/>
            <w:vAlign w:val="center"/>
          </w:tcPr>
          <w:p w14:paraId="06232E08">
            <w:pPr>
              <w:jc w:val="center"/>
              <w:rPr>
                <w:rFonts w:ascii="仿宋_GB2312" w:hAnsi="华文细黑" w:eastAsia="仿宋_GB2312"/>
                <w:color w:val="auto"/>
              </w:rPr>
            </w:pPr>
            <w:r>
              <w:rPr>
                <w:rFonts w:hint="eastAsia" w:ascii="仿宋_GB2312" w:hAnsi="华文细黑" w:eastAsia="仿宋_GB2312"/>
                <w:color w:val="auto"/>
              </w:rPr>
              <w:t>日常履约评价得分</w:t>
            </w:r>
          </w:p>
          <w:p w14:paraId="5C4688F4">
            <w:pPr>
              <w:jc w:val="center"/>
              <w:rPr>
                <w:rFonts w:ascii="仿宋_GB2312" w:hAnsi="华文细黑" w:eastAsia="仿宋_GB2312"/>
                <w:color w:val="auto"/>
              </w:rPr>
            </w:pPr>
            <w:r>
              <w:rPr>
                <w:rFonts w:hint="eastAsia" w:ascii="仿宋_GB2312" w:hAnsi="华文细黑" w:eastAsia="仿宋_GB2312"/>
                <w:color w:val="auto"/>
              </w:rPr>
              <w:t>占权重７０％</w:t>
            </w:r>
          </w:p>
        </w:tc>
        <w:tc>
          <w:tcPr>
            <w:tcW w:w="1350" w:type="dxa"/>
            <w:vAlign w:val="center"/>
          </w:tcPr>
          <w:p w14:paraId="33D64F32">
            <w:pPr>
              <w:jc w:val="center"/>
              <w:rPr>
                <w:rFonts w:ascii="仿宋_GB2312" w:hAnsi="华文细黑" w:eastAsia="仿宋_GB2312"/>
                <w:color w:val="auto"/>
              </w:rPr>
            </w:pPr>
          </w:p>
        </w:tc>
        <w:tc>
          <w:tcPr>
            <w:tcW w:w="1351" w:type="dxa"/>
            <w:gridSpan w:val="2"/>
            <w:vAlign w:val="center"/>
          </w:tcPr>
          <w:p w14:paraId="16E13736">
            <w:pPr>
              <w:jc w:val="center"/>
              <w:rPr>
                <w:rFonts w:ascii="仿宋_GB2312" w:hAnsi="华文细黑" w:eastAsia="仿宋_GB2312"/>
                <w:color w:val="auto"/>
              </w:rPr>
            </w:pPr>
          </w:p>
        </w:tc>
        <w:tc>
          <w:tcPr>
            <w:tcW w:w="1284" w:type="dxa"/>
            <w:vAlign w:val="center"/>
          </w:tcPr>
          <w:p w14:paraId="437615EB">
            <w:pPr>
              <w:jc w:val="center"/>
              <w:rPr>
                <w:rFonts w:ascii="仿宋_GB2312" w:hAnsi="华文细黑" w:eastAsia="仿宋_GB2312"/>
                <w:color w:val="auto"/>
              </w:rPr>
            </w:pPr>
          </w:p>
        </w:tc>
        <w:tc>
          <w:tcPr>
            <w:tcW w:w="1134" w:type="dxa"/>
            <w:gridSpan w:val="2"/>
            <w:vAlign w:val="center"/>
          </w:tcPr>
          <w:p w14:paraId="1C803EF6">
            <w:pPr>
              <w:jc w:val="center"/>
              <w:rPr>
                <w:rFonts w:ascii="仿宋_GB2312" w:hAnsi="华文细黑" w:eastAsia="仿宋_GB2312"/>
                <w:color w:val="auto"/>
              </w:rPr>
            </w:pPr>
          </w:p>
        </w:tc>
        <w:tc>
          <w:tcPr>
            <w:tcW w:w="1205" w:type="dxa"/>
            <w:vAlign w:val="center"/>
          </w:tcPr>
          <w:p w14:paraId="715E06F5">
            <w:pPr>
              <w:jc w:val="center"/>
              <w:rPr>
                <w:rFonts w:ascii="仿宋_GB2312" w:hAnsi="华文细黑" w:eastAsia="仿宋_GB2312"/>
                <w:color w:val="auto"/>
              </w:rPr>
            </w:pPr>
          </w:p>
        </w:tc>
        <w:tc>
          <w:tcPr>
            <w:tcW w:w="1205" w:type="dxa"/>
            <w:vAlign w:val="center"/>
          </w:tcPr>
          <w:p w14:paraId="5269F673">
            <w:pPr>
              <w:jc w:val="center"/>
              <w:rPr>
                <w:rFonts w:ascii="仿宋_GB2312" w:hAnsi="华文细黑" w:eastAsia="仿宋_GB2312"/>
                <w:color w:val="auto"/>
              </w:rPr>
            </w:pPr>
          </w:p>
        </w:tc>
      </w:tr>
      <w:tr w14:paraId="2CA00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continue"/>
            <w:vAlign w:val="center"/>
          </w:tcPr>
          <w:p w14:paraId="79FEE8DE">
            <w:pPr>
              <w:jc w:val="center"/>
              <w:rPr>
                <w:rFonts w:ascii="仿宋_GB2312" w:hAnsi="华文细黑" w:eastAsia="仿宋_GB2312"/>
                <w:color w:val="auto"/>
              </w:rPr>
            </w:pPr>
          </w:p>
        </w:tc>
        <w:tc>
          <w:tcPr>
            <w:tcW w:w="1350" w:type="dxa"/>
            <w:vAlign w:val="center"/>
          </w:tcPr>
          <w:p w14:paraId="7B496F9B">
            <w:pPr>
              <w:jc w:val="center"/>
              <w:rPr>
                <w:rFonts w:ascii="仿宋_GB2312" w:hAnsi="华文细黑" w:eastAsia="仿宋_GB2312"/>
                <w:color w:val="auto"/>
              </w:rPr>
            </w:pPr>
          </w:p>
        </w:tc>
        <w:tc>
          <w:tcPr>
            <w:tcW w:w="1351" w:type="dxa"/>
            <w:gridSpan w:val="2"/>
            <w:vAlign w:val="center"/>
          </w:tcPr>
          <w:p w14:paraId="3C284577">
            <w:pPr>
              <w:jc w:val="center"/>
              <w:rPr>
                <w:rFonts w:ascii="仿宋_GB2312" w:hAnsi="华文细黑" w:eastAsia="仿宋_GB2312"/>
                <w:color w:val="auto"/>
              </w:rPr>
            </w:pPr>
          </w:p>
        </w:tc>
        <w:tc>
          <w:tcPr>
            <w:tcW w:w="1284" w:type="dxa"/>
            <w:vAlign w:val="center"/>
          </w:tcPr>
          <w:p w14:paraId="4E074EDA">
            <w:pPr>
              <w:jc w:val="center"/>
              <w:rPr>
                <w:rFonts w:ascii="仿宋_GB2312" w:hAnsi="华文细黑" w:eastAsia="仿宋_GB2312"/>
                <w:color w:val="auto"/>
              </w:rPr>
            </w:pPr>
          </w:p>
        </w:tc>
        <w:tc>
          <w:tcPr>
            <w:tcW w:w="1134" w:type="dxa"/>
            <w:gridSpan w:val="2"/>
            <w:vAlign w:val="center"/>
          </w:tcPr>
          <w:p w14:paraId="26499CAC">
            <w:pPr>
              <w:jc w:val="center"/>
              <w:rPr>
                <w:rFonts w:ascii="仿宋_GB2312" w:hAnsi="华文细黑" w:eastAsia="仿宋_GB2312"/>
                <w:color w:val="auto"/>
              </w:rPr>
            </w:pPr>
          </w:p>
        </w:tc>
        <w:tc>
          <w:tcPr>
            <w:tcW w:w="1205" w:type="dxa"/>
            <w:vAlign w:val="center"/>
          </w:tcPr>
          <w:p w14:paraId="315ECC16">
            <w:pPr>
              <w:jc w:val="center"/>
              <w:rPr>
                <w:rFonts w:ascii="仿宋_GB2312" w:hAnsi="华文细黑" w:eastAsia="仿宋_GB2312"/>
                <w:color w:val="auto"/>
              </w:rPr>
            </w:pPr>
          </w:p>
        </w:tc>
        <w:tc>
          <w:tcPr>
            <w:tcW w:w="1205" w:type="dxa"/>
            <w:vAlign w:val="center"/>
          </w:tcPr>
          <w:p w14:paraId="216B3C72">
            <w:pPr>
              <w:jc w:val="center"/>
              <w:rPr>
                <w:rFonts w:ascii="仿宋_GB2312" w:hAnsi="华文细黑" w:eastAsia="仿宋_GB2312"/>
                <w:color w:val="auto"/>
              </w:rPr>
            </w:pPr>
          </w:p>
        </w:tc>
      </w:tr>
      <w:tr w14:paraId="69DF3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continue"/>
            <w:vAlign w:val="center"/>
          </w:tcPr>
          <w:p w14:paraId="6E9E05DF">
            <w:pPr>
              <w:jc w:val="center"/>
              <w:rPr>
                <w:rFonts w:ascii="仿宋_GB2312" w:hAnsi="华文细黑" w:eastAsia="仿宋_GB2312"/>
                <w:color w:val="auto"/>
              </w:rPr>
            </w:pPr>
          </w:p>
        </w:tc>
        <w:tc>
          <w:tcPr>
            <w:tcW w:w="7529" w:type="dxa"/>
            <w:gridSpan w:val="8"/>
            <w:vAlign w:val="center"/>
          </w:tcPr>
          <w:p w14:paraId="04549DD0">
            <w:pPr>
              <w:jc w:val="left"/>
              <w:rPr>
                <w:rFonts w:ascii="仿宋_GB2312" w:hAnsi="华文细黑" w:eastAsia="仿宋_GB2312"/>
                <w:color w:val="auto"/>
              </w:rPr>
            </w:pPr>
            <w:r>
              <w:rPr>
                <w:rFonts w:hint="eastAsia" w:ascii="仿宋_GB2312" w:hAnsi="华文细黑" w:eastAsia="仿宋_GB2312"/>
                <w:color w:val="auto"/>
              </w:rPr>
              <w:t>年度算术平均得分：</w:t>
            </w:r>
          </w:p>
        </w:tc>
      </w:tr>
      <w:tr w14:paraId="7014D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continue"/>
            <w:vAlign w:val="center"/>
          </w:tcPr>
          <w:p w14:paraId="6CACC5A5">
            <w:pPr>
              <w:jc w:val="center"/>
              <w:rPr>
                <w:rFonts w:ascii="仿宋_GB2312" w:hAnsi="华文细黑" w:eastAsia="仿宋_GB2312"/>
                <w:color w:val="auto"/>
              </w:rPr>
            </w:pPr>
          </w:p>
        </w:tc>
        <w:tc>
          <w:tcPr>
            <w:tcW w:w="7529" w:type="dxa"/>
            <w:gridSpan w:val="8"/>
            <w:vAlign w:val="center"/>
          </w:tcPr>
          <w:p w14:paraId="559519BA">
            <w:pPr>
              <w:jc w:val="left"/>
              <w:rPr>
                <w:rFonts w:ascii="仿宋_GB2312" w:hAnsi="华文细黑" w:eastAsia="仿宋_GB2312"/>
                <w:color w:val="auto"/>
              </w:rPr>
            </w:pPr>
            <w:r>
              <w:rPr>
                <w:rFonts w:hint="eastAsia" w:ascii="仿宋_GB2312" w:hAnsi="华文细黑" w:eastAsia="仿宋_GB2312"/>
                <w:color w:val="auto"/>
              </w:rPr>
              <w:t>权重70%，换算得分：</w:t>
            </w:r>
          </w:p>
        </w:tc>
      </w:tr>
      <w:tr w14:paraId="44D24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restart"/>
            <w:vAlign w:val="center"/>
          </w:tcPr>
          <w:p w14:paraId="43D4458B">
            <w:pPr>
              <w:jc w:val="center"/>
              <w:rPr>
                <w:rFonts w:ascii="仿宋_GB2312" w:hAnsi="华文细黑" w:eastAsia="仿宋_GB2312" w:cs="仿宋"/>
                <w:color w:val="auto"/>
              </w:rPr>
            </w:pPr>
            <w:r>
              <w:rPr>
                <w:rFonts w:hint="eastAsia" w:ascii="仿宋_GB2312" w:hAnsi="华文细黑" w:eastAsia="仿宋_GB2312" w:cs="仿宋"/>
                <w:color w:val="auto"/>
              </w:rPr>
              <w:t>年度第三方检查结果</w:t>
            </w:r>
          </w:p>
          <w:p w14:paraId="514BE612">
            <w:pPr>
              <w:jc w:val="center"/>
              <w:rPr>
                <w:rFonts w:ascii="仿宋_GB2312" w:hAnsi="华文细黑" w:eastAsia="仿宋_GB2312"/>
                <w:color w:val="auto"/>
              </w:rPr>
            </w:pPr>
            <w:r>
              <w:rPr>
                <w:rFonts w:hint="eastAsia" w:ascii="仿宋_GB2312" w:hAnsi="华文细黑" w:eastAsia="仿宋_GB2312" w:cs="仿宋"/>
                <w:color w:val="auto"/>
              </w:rPr>
              <w:t>占30%</w:t>
            </w:r>
          </w:p>
        </w:tc>
        <w:tc>
          <w:tcPr>
            <w:tcW w:w="2509" w:type="dxa"/>
            <w:gridSpan w:val="2"/>
            <w:vAlign w:val="center"/>
          </w:tcPr>
          <w:p w14:paraId="6B820DE8">
            <w:pPr>
              <w:jc w:val="left"/>
              <w:rPr>
                <w:rFonts w:ascii="仿宋_GB2312" w:hAnsi="华文细黑" w:eastAsia="仿宋_GB2312"/>
                <w:color w:val="auto"/>
              </w:rPr>
            </w:pPr>
            <w:r>
              <w:rPr>
                <w:rFonts w:hint="eastAsia" w:ascii="仿宋_GB2312" w:hAnsi="华文细黑" w:eastAsia="仿宋_GB2312" w:cs="仿宋"/>
                <w:color w:val="auto"/>
              </w:rPr>
              <w:t>第三方客户满意度调查</w:t>
            </w:r>
          </w:p>
        </w:tc>
        <w:tc>
          <w:tcPr>
            <w:tcW w:w="2510" w:type="dxa"/>
            <w:gridSpan w:val="3"/>
            <w:vAlign w:val="center"/>
          </w:tcPr>
          <w:p w14:paraId="74CE103C">
            <w:pPr>
              <w:jc w:val="left"/>
              <w:rPr>
                <w:rFonts w:ascii="仿宋_GB2312" w:hAnsi="华文细黑" w:eastAsia="仿宋_GB2312"/>
                <w:color w:val="auto"/>
              </w:rPr>
            </w:pPr>
            <w:r>
              <w:rPr>
                <w:rFonts w:hint="eastAsia" w:ascii="仿宋_GB2312" w:hAnsi="华文细黑" w:eastAsia="仿宋_GB2312"/>
                <w:color w:val="auto"/>
              </w:rPr>
              <w:t>按80分为基准，每低1分，扣1分</w:t>
            </w:r>
          </w:p>
        </w:tc>
        <w:tc>
          <w:tcPr>
            <w:tcW w:w="2510" w:type="dxa"/>
            <w:gridSpan w:val="3"/>
            <w:vAlign w:val="center"/>
          </w:tcPr>
          <w:p w14:paraId="205C3255">
            <w:pPr>
              <w:jc w:val="left"/>
              <w:rPr>
                <w:rFonts w:ascii="仿宋_GB2312" w:hAnsi="华文细黑" w:eastAsia="仿宋_GB2312"/>
                <w:color w:val="auto"/>
              </w:rPr>
            </w:pPr>
            <w:r>
              <w:rPr>
                <w:rFonts w:hint="eastAsia" w:ascii="仿宋_GB2312" w:hAnsi="华文细黑" w:eastAsia="仿宋_GB2312"/>
                <w:color w:val="auto"/>
              </w:rPr>
              <w:t>扣分：</w:t>
            </w:r>
          </w:p>
        </w:tc>
      </w:tr>
      <w:tr w14:paraId="7493C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continue"/>
            <w:vAlign w:val="center"/>
          </w:tcPr>
          <w:p w14:paraId="19DD16C2">
            <w:pPr>
              <w:jc w:val="center"/>
              <w:rPr>
                <w:rFonts w:ascii="仿宋_GB2312" w:hAnsi="华文细黑" w:eastAsia="仿宋_GB2312" w:cs="仿宋"/>
                <w:color w:val="auto"/>
              </w:rPr>
            </w:pPr>
          </w:p>
        </w:tc>
        <w:tc>
          <w:tcPr>
            <w:tcW w:w="2509" w:type="dxa"/>
            <w:gridSpan w:val="2"/>
            <w:vAlign w:val="center"/>
          </w:tcPr>
          <w:p w14:paraId="7C185274">
            <w:pPr>
              <w:jc w:val="left"/>
              <w:rPr>
                <w:rFonts w:ascii="仿宋_GB2312" w:hAnsi="华文细黑" w:eastAsia="仿宋_GB2312" w:cs="仿宋"/>
                <w:color w:val="auto"/>
              </w:rPr>
            </w:pPr>
            <w:r>
              <w:rPr>
                <w:rFonts w:hint="eastAsia" w:ascii="仿宋_GB2312" w:hAnsi="华文细黑" w:eastAsia="仿宋_GB2312" w:cs="仿宋"/>
                <w:color w:val="auto"/>
              </w:rPr>
              <w:t>第三方安全检查</w:t>
            </w:r>
          </w:p>
        </w:tc>
        <w:tc>
          <w:tcPr>
            <w:tcW w:w="2510" w:type="dxa"/>
            <w:gridSpan w:val="3"/>
            <w:vAlign w:val="center"/>
          </w:tcPr>
          <w:p w14:paraId="1533F46A">
            <w:pPr>
              <w:jc w:val="left"/>
              <w:rPr>
                <w:rFonts w:ascii="仿宋_GB2312" w:hAnsi="华文细黑" w:eastAsia="仿宋_GB2312"/>
                <w:color w:val="auto"/>
              </w:rPr>
            </w:pPr>
            <w:r>
              <w:rPr>
                <w:rFonts w:hint="eastAsia" w:ascii="仿宋_GB2312" w:hAnsi="华文细黑" w:eastAsia="仿宋_GB2312"/>
                <w:color w:val="auto"/>
              </w:rPr>
              <w:t>按75分为基准，每低1分，扣1分</w:t>
            </w:r>
          </w:p>
        </w:tc>
        <w:tc>
          <w:tcPr>
            <w:tcW w:w="2510" w:type="dxa"/>
            <w:gridSpan w:val="3"/>
            <w:vAlign w:val="center"/>
          </w:tcPr>
          <w:p w14:paraId="0F71F86B">
            <w:pPr>
              <w:jc w:val="left"/>
              <w:rPr>
                <w:rFonts w:ascii="仿宋_GB2312" w:hAnsi="华文细黑" w:eastAsia="仿宋_GB2312"/>
                <w:color w:val="auto"/>
              </w:rPr>
            </w:pPr>
            <w:r>
              <w:rPr>
                <w:rFonts w:hint="eastAsia" w:ascii="仿宋_GB2312" w:hAnsi="华文细黑" w:eastAsia="仿宋_GB2312"/>
                <w:color w:val="auto"/>
              </w:rPr>
              <w:t>扣分：</w:t>
            </w:r>
          </w:p>
        </w:tc>
      </w:tr>
      <w:tr w14:paraId="1492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continue"/>
            <w:vAlign w:val="center"/>
          </w:tcPr>
          <w:p w14:paraId="7F4CBF30">
            <w:pPr>
              <w:jc w:val="center"/>
              <w:rPr>
                <w:rFonts w:ascii="仿宋_GB2312" w:hAnsi="华文细黑" w:eastAsia="仿宋_GB2312" w:cs="仿宋"/>
                <w:color w:val="auto"/>
              </w:rPr>
            </w:pPr>
          </w:p>
        </w:tc>
        <w:tc>
          <w:tcPr>
            <w:tcW w:w="2509" w:type="dxa"/>
            <w:gridSpan w:val="2"/>
            <w:vAlign w:val="center"/>
          </w:tcPr>
          <w:p w14:paraId="3D478EB5">
            <w:pPr>
              <w:jc w:val="left"/>
              <w:rPr>
                <w:rFonts w:ascii="仿宋_GB2312" w:hAnsi="华文细黑" w:eastAsia="仿宋_GB2312" w:cs="仿宋"/>
                <w:color w:val="auto"/>
              </w:rPr>
            </w:pPr>
            <w:r>
              <w:rPr>
                <w:rFonts w:hint="eastAsia" w:ascii="仿宋_GB2312" w:hAnsi="华文细黑" w:eastAsia="仿宋_GB2312" w:cs="仿宋"/>
                <w:color w:val="auto"/>
              </w:rPr>
              <w:t>其他第三方检查</w:t>
            </w:r>
          </w:p>
        </w:tc>
        <w:tc>
          <w:tcPr>
            <w:tcW w:w="2510" w:type="dxa"/>
            <w:gridSpan w:val="3"/>
            <w:vAlign w:val="center"/>
          </w:tcPr>
          <w:p w14:paraId="1DB56D43">
            <w:pPr>
              <w:jc w:val="left"/>
              <w:rPr>
                <w:rFonts w:ascii="仿宋_GB2312" w:hAnsi="华文细黑" w:eastAsia="仿宋_GB2312"/>
                <w:color w:val="auto"/>
              </w:rPr>
            </w:pPr>
            <w:r>
              <w:rPr>
                <w:rFonts w:hint="eastAsia" w:ascii="仿宋_GB2312" w:hAnsi="华文细黑" w:eastAsia="仿宋_GB2312"/>
                <w:color w:val="auto"/>
              </w:rPr>
              <w:t>按75分为基准，每低1分，扣1分</w:t>
            </w:r>
          </w:p>
        </w:tc>
        <w:tc>
          <w:tcPr>
            <w:tcW w:w="2510" w:type="dxa"/>
            <w:gridSpan w:val="3"/>
            <w:vAlign w:val="center"/>
          </w:tcPr>
          <w:p w14:paraId="67A9405D">
            <w:pPr>
              <w:jc w:val="left"/>
              <w:rPr>
                <w:rFonts w:ascii="仿宋_GB2312" w:hAnsi="华文细黑" w:eastAsia="仿宋_GB2312"/>
                <w:color w:val="auto"/>
              </w:rPr>
            </w:pPr>
            <w:r>
              <w:rPr>
                <w:rFonts w:hint="eastAsia" w:ascii="仿宋_GB2312" w:hAnsi="华文细黑" w:eastAsia="仿宋_GB2312"/>
                <w:color w:val="auto"/>
              </w:rPr>
              <w:t>扣分：</w:t>
            </w:r>
          </w:p>
        </w:tc>
      </w:tr>
      <w:tr w14:paraId="4D9AE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Merge w:val="continue"/>
            <w:vAlign w:val="center"/>
          </w:tcPr>
          <w:p w14:paraId="062371EE">
            <w:pPr>
              <w:jc w:val="center"/>
              <w:rPr>
                <w:rFonts w:ascii="仿宋_GB2312" w:hAnsi="华文细黑" w:eastAsia="仿宋_GB2312" w:cs="仿宋"/>
                <w:color w:val="auto"/>
              </w:rPr>
            </w:pPr>
          </w:p>
        </w:tc>
        <w:tc>
          <w:tcPr>
            <w:tcW w:w="2509" w:type="dxa"/>
            <w:gridSpan w:val="2"/>
            <w:vAlign w:val="center"/>
          </w:tcPr>
          <w:p w14:paraId="3A89B408">
            <w:pPr>
              <w:jc w:val="right"/>
              <w:rPr>
                <w:rFonts w:ascii="仿宋_GB2312" w:hAnsi="华文细黑" w:eastAsia="仿宋_GB2312" w:cs="仿宋"/>
                <w:color w:val="auto"/>
              </w:rPr>
            </w:pPr>
            <w:r>
              <w:rPr>
                <w:rFonts w:hint="eastAsia" w:ascii="仿宋_GB2312" w:hAnsi="华文细黑" w:eastAsia="仿宋_GB2312" w:cs="仿宋"/>
                <w:color w:val="auto"/>
              </w:rPr>
              <w:t>得分</w:t>
            </w:r>
          </w:p>
        </w:tc>
        <w:tc>
          <w:tcPr>
            <w:tcW w:w="5020" w:type="dxa"/>
            <w:gridSpan w:val="6"/>
            <w:vAlign w:val="center"/>
          </w:tcPr>
          <w:p w14:paraId="05EA5296">
            <w:pPr>
              <w:jc w:val="left"/>
              <w:rPr>
                <w:rFonts w:ascii="仿宋_GB2312" w:hAnsi="华文细黑" w:eastAsia="仿宋_GB2312"/>
                <w:color w:val="auto"/>
              </w:rPr>
            </w:pPr>
          </w:p>
        </w:tc>
      </w:tr>
      <w:tr w14:paraId="042C7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629" w:type="dxa"/>
            <w:gridSpan w:val="9"/>
            <w:vAlign w:val="center"/>
          </w:tcPr>
          <w:p w14:paraId="1B7F999A">
            <w:pPr>
              <w:jc w:val="left"/>
              <w:rPr>
                <w:rFonts w:ascii="仿宋_GB2312" w:hAnsi="华文细黑" w:eastAsia="仿宋_GB2312"/>
                <w:color w:val="auto"/>
              </w:rPr>
            </w:pPr>
            <w:r>
              <w:rPr>
                <w:rFonts w:hint="eastAsia" w:ascii="仿宋_GB2312" w:hAnsi="华文细黑" w:eastAsia="仿宋_GB2312"/>
                <w:color w:val="auto"/>
              </w:rPr>
              <w:t>备注：如本年度无第三方检查，相应权重并入日常履约评价。</w:t>
            </w:r>
          </w:p>
        </w:tc>
      </w:tr>
      <w:tr w14:paraId="7DBB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00" w:type="dxa"/>
            <w:vAlign w:val="center"/>
          </w:tcPr>
          <w:p w14:paraId="25A743E4">
            <w:pPr>
              <w:jc w:val="center"/>
              <w:rPr>
                <w:rFonts w:ascii="仿宋_GB2312" w:hAnsi="华文细黑" w:eastAsia="仿宋_GB2312" w:cs="仿宋"/>
                <w:color w:val="auto"/>
              </w:rPr>
            </w:pPr>
            <w:r>
              <w:rPr>
                <w:rFonts w:hint="eastAsia" w:ascii="仿宋_GB2312" w:hAnsi="华文细黑" w:eastAsia="仿宋_GB2312" w:cs="仿宋"/>
                <w:color w:val="auto"/>
              </w:rPr>
              <w:t>年度履约评价得分</w:t>
            </w:r>
          </w:p>
        </w:tc>
        <w:tc>
          <w:tcPr>
            <w:tcW w:w="7529" w:type="dxa"/>
            <w:gridSpan w:val="8"/>
            <w:vAlign w:val="center"/>
          </w:tcPr>
          <w:p w14:paraId="0F5C3B20">
            <w:pPr>
              <w:jc w:val="left"/>
              <w:rPr>
                <w:rFonts w:ascii="仿宋_GB2312" w:hAnsi="华文细黑" w:eastAsia="仿宋_GB2312"/>
                <w:color w:val="auto"/>
              </w:rPr>
            </w:pPr>
            <w:r>
              <w:rPr>
                <w:rFonts w:hint="eastAsia" w:ascii="仿宋_GB2312" w:hAnsi="华文细黑" w:eastAsia="仿宋_GB2312"/>
                <w:color w:val="auto"/>
              </w:rPr>
              <w:t>日常履约评价得分70％+</w:t>
            </w:r>
            <w:r>
              <w:rPr>
                <w:rFonts w:hint="eastAsia" w:ascii="仿宋_GB2312" w:hAnsi="华文细黑" w:eastAsia="仿宋_GB2312" w:cs="仿宋"/>
                <w:color w:val="auto"/>
              </w:rPr>
              <w:t>年度第三方检查结果30%=            分</w:t>
            </w:r>
          </w:p>
        </w:tc>
      </w:tr>
      <w:tr w14:paraId="5D93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jc w:val="center"/>
        </w:trPr>
        <w:tc>
          <w:tcPr>
            <w:tcW w:w="2100" w:type="dxa"/>
            <w:vAlign w:val="center"/>
          </w:tcPr>
          <w:p w14:paraId="69EE5D64">
            <w:pPr>
              <w:jc w:val="center"/>
              <w:rPr>
                <w:rFonts w:ascii="仿宋_GB2312" w:hAnsi="华文细黑" w:eastAsia="仿宋_GB2312" w:cs="仿宋"/>
                <w:color w:val="auto"/>
              </w:rPr>
            </w:pPr>
            <w:r>
              <w:rPr>
                <w:rFonts w:hint="eastAsia" w:ascii="仿宋_GB2312" w:hAnsi="华文细黑" w:eastAsia="仿宋_GB2312" w:cs="仿宋"/>
                <w:color w:val="auto"/>
              </w:rPr>
              <w:t>评价部门评语</w:t>
            </w:r>
          </w:p>
        </w:tc>
        <w:tc>
          <w:tcPr>
            <w:tcW w:w="7529" w:type="dxa"/>
            <w:gridSpan w:val="8"/>
            <w:vAlign w:val="center"/>
          </w:tcPr>
          <w:p w14:paraId="0F4095C8">
            <w:pPr>
              <w:jc w:val="left"/>
              <w:rPr>
                <w:rFonts w:ascii="仿宋_GB2312" w:hAnsi="华文细黑" w:eastAsia="仿宋_GB2312"/>
                <w:color w:val="auto"/>
              </w:rPr>
            </w:pPr>
          </w:p>
          <w:p w14:paraId="5AF8FACF">
            <w:pPr>
              <w:jc w:val="left"/>
              <w:rPr>
                <w:rFonts w:ascii="仿宋_GB2312" w:hAnsi="华文细黑" w:eastAsia="仿宋_GB2312" w:cs="仿宋"/>
                <w:color w:val="auto"/>
              </w:rPr>
            </w:pPr>
            <w:r>
              <w:rPr>
                <w:rFonts w:hint="eastAsia" w:ascii="仿宋_GB2312" w:hAnsi="华文细黑" w:eastAsia="仿宋_GB2312" w:cs="仿宋"/>
                <w:color w:val="auto"/>
              </w:rPr>
              <w:t>评价人：</w:t>
            </w:r>
          </w:p>
          <w:p w14:paraId="564EE0A4">
            <w:pPr>
              <w:jc w:val="left"/>
              <w:rPr>
                <w:rFonts w:ascii="仿宋_GB2312" w:hAnsi="华文细黑" w:eastAsia="仿宋_GB2312"/>
                <w:color w:val="auto"/>
              </w:rPr>
            </w:pPr>
            <w:r>
              <w:rPr>
                <w:rFonts w:hint="eastAsia" w:ascii="仿宋_GB2312" w:hAnsi="华文细黑" w:eastAsia="仿宋_GB2312"/>
                <w:color w:val="auto"/>
              </w:rPr>
              <w:t>部门审批：</w:t>
            </w:r>
          </w:p>
        </w:tc>
      </w:tr>
    </w:tbl>
    <w:p w14:paraId="031C0AA6">
      <w:pPr>
        <w:widowControl/>
        <w:jc w:val="left"/>
        <w:rPr>
          <w:rFonts w:ascii="仿宋" w:hAnsi="仿宋" w:eastAsia="仿宋" w:cs="宋体"/>
          <w:color w:val="auto"/>
          <w:sz w:val="30"/>
          <w:szCs w:val="30"/>
        </w:rPr>
      </w:pPr>
    </w:p>
    <w:p w14:paraId="1F4C3828">
      <w:pPr>
        <w:widowControl/>
        <w:jc w:val="left"/>
        <w:rPr>
          <w:rFonts w:ascii="仿宋" w:hAnsi="仿宋" w:eastAsia="仿宋" w:cs="宋体"/>
          <w:color w:val="auto"/>
          <w:sz w:val="30"/>
          <w:szCs w:val="30"/>
        </w:rPr>
      </w:pPr>
    </w:p>
    <w:p w14:paraId="441D7CB5">
      <w:pPr>
        <w:widowControl/>
        <w:jc w:val="left"/>
        <w:rPr>
          <w:rFonts w:ascii="仿宋" w:hAnsi="仿宋" w:eastAsia="仿宋" w:cs="宋体"/>
          <w:color w:val="auto"/>
          <w:sz w:val="30"/>
          <w:szCs w:val="30"/>
        </w:rPr>
      </w:pPr>
    </w:p>
    <w:p w14:paraId="4EECFDBF">
      <w:pPr>
        <w:widowControl/>
        <w:jc w:val="left"/>
        <w:rPr>
          <w:rFonts w:ascii="仿宋" w:hAnsi="仿宋" w:eastAsia="仿宋" w:cs="宋体"/>
          <w:color w:val="auto"/>
          <w:sz w:val="30"/>
          <w:szCs w:val="30"/>
        </w:rPr>
      </w:pPr>
    </w:p>
    <w:p w14:paraId="130710C3">
      <w:pPr>
        <w:widowControl/>
        <w:jc w:val="left"/>
        <w:rPr>
          <w:rFonts w:ascii="仿宋" w:hAnsi="仿宋" w:eastAsia="仿宋" w:cs="宋体"/>
          <w:color w:val="auto"/>
          <w:sz w:val="30"/>
          <w:szCs w:val="30"/>
        </w:rPr>
      </w:pPr>
    </w:p>
    <w:p w14:paraId="7A2D56E2">
      <w:pPr>
        <w:snapToGrid w:val="0"/>
        <w:spacing w:before="240" w:after="240" w:line="520" w:lineRule="exact"/>
        <w:rPr>
          <w:rFonts w:ascii="仿宋" w:hAnsi="仿宋" w:eastAsia="仿宋"/>
          <w:b/>
          <w:bCs/>
          <w:color w:val="auto"/>
          <w:sz w:val="30"/>
          <w:szCs w:val="30"/>
        </w:rPr>
      </w:pPr>
      <w:r>
        <w:rPr>
          <w:rFonts w:hint="eastAsia" w:ascii="仿宋" w:hAnsi="仿宋" w:eastAsia="仿宋"/>
          <w:b/>
          <w:bCs/>
          <w:color w:val="auto"/>
          <w:sz w:val="30"/>
          <w:szCs w:val="30"/>
        </w:rPr>
        <w:t>附件八：公司合作方廉洁协议</w:t>
      </w:r>
    </w:p>
    <w:p w14:paraId="31514771">
      <w:pPr>
        <w:snapToGrid w:val="0"/>
        <w:spacing w:before="240" w:after="240" w:line="520" w:lineRule="exact"/>
        <w:jc w:val="center"/>
        <w:rPr>
          <w:rFonts w:ascii="仿宋" w:hAnsi="仿宋" w:eastAsia="仿宋"/>
          <w:color w:val="auto"/>
          <w:sz w:val="30"/>
          <w:szCs w:val="30"/>
        </w:rPr>
      </w:pPr>
      <w:r>
        <w:rPr>
          <w:rFonts w:hint="eastAsia" w:ascii="仿宋" w:hAnsi="仿宋" w:eastAsia="仿宋"/>
          <w:color w:val="auto"/>
          <w:sz w:val="30"/>
          <w:szCs w:val="30"/>
        </w:rPr>
        <w:t>公司合作方廉洁协议</w:t>
      </w:r>
    </w:p>
    <w:p w14:paraId="0D8B6F5C">
      <w:pPr>
        <w:ind w:firstLine="600" w:firstLineChars="200"/>
        <w:rPr>
          <w:rFonts w:ascii="仿宋" w:hAnsi="仿宋" w:eastAsia="仿宋"/>
          <w:color w:val="auto"/>
          <w:sz w:val="30"/>
          <w:szCs w:val="30"/>
        </w:rPr>
      </w:pPr>
      <w:r>
        <w:rPr>
          <w:rFonts w:hint="eastAsia" w:ascii="仿宋" w:hAnsi="仿宋" w:eastAsia="仿宋"/>
          <w:color w:val="auto"/>
          <w:sz w:val="30"/>
          <w:szCs w:val="30"/>
        </w:rPr>
        <w:t>甲方：</w:t>
      </w:r>
    </w:p>
    <w:p w14:paraId="142D65DB">
      <w:pPr>
        <w:spacing w:line="600" w:lineRule="auto"/>
        <w:ind w:firstLine="600" w:firstLineChars="200"/>
        <w:rPr>
          <w:rFonts w:ascii="仿宋" w:hAnsi="仿宋" w:eastAsia="仿宋"/>
          <w:color w:val="auto"/>
          <w:sz w:val="30"/>
          <w:szCs w:val="30"/>
        </w:rPr>
      </w:pPr>
      <w:r>
        <w:rPr>
          <w:rFonts w:hint="eastAsia" w:ascii="仿宋" w:hAnsi="仿宋" w:eastAsia="仿宋"/>
          <w:color w:val="auto"/>
          <w:sz w:val="30"/>
          <w:szCs w:val="30"/>
        </w:rPr>
        <w:t>乙方：</w:t>
      </w:r>
    </w:p>
    <w:p w14:paraId="6F481987">
      <w:pPr>
        <w:spacing w:line="520" w:lineRule="exact"/>
        <w:ind w:firstLine="560"/>
        <w:rPr>
          <w:rFonts w:ascii="仿宋" w:hAnsi="仿宋" w:eastAsia="仿宋"/>
          <w:color w:val="auto"/>
          <w:sz w:val="30"/>
          <w:szCs w:val="30"/>
        </w:rPr>
      </w:pPr>
      <w:r>
        <w:rPr>
          <w:rFonts w:hint="eastAsia" w:ascii="仿宋" w:hAnsi="仿宋" w:eastAsia="仿宋"/>
          <w:color w:val="auto"/>
          <w:sz w:val="30"/>
          <w:szCs w:val="30"/>
        </w:rPr>
        <w:t>甲方指</w:t>
      </w:r>
      <w:r>
        <w:rPr>
          <w:rFonts w:hint="eastAsia" w:ascii="仿宋" w:hAnsi="仿宋" w:eastAsia="仿宋"/>
          <w:color w:val="auto"/>
          <w:sz w:val="30"/>
          <w:szCs w:val="30"/>
          <w:lang w:eastAsia="zh-CN"/>
        </w:rPr>
        <w:t>广西钦州孔雀湾物业服务有限公司</w:t>
      </w:r>
      <w:r>
        <w:rPr>
          <w:rFonts w:hint="eastAsia" w:ascii="仿宋" w:hAnsi="仿宋" w:eastAsia="仿宋"/>
          <w:color w:val="auto"/>
          <w:sz w:val="30"/>
          <w:szCs w:val="30"/>
        </w:rPr>
        <w:t>；乙方指参与甲方服务招标活动的投标单位、议标单位、中标单位、合同履约单位等。参与招投标活动和合同执行过程中双方的参与人、执行人等都被视为双方的表见代理人，表见代理人的行为也受本协议的约束。</w:t>
      </w:r>
    </w:p>
    <w:p w14:paraId="17834A94">
      <w:pPr>
        <w:spacing w:line="520" w:lineRule="exact"/>
        <w:ind w:firstLine="560"/>
        <w:rPr>
          <w:rFonts w:ascii="仿宋" w:hAnsi="仿宋" w:eastAsia="仿宋"/>
          <w:color w:val="auto"/>
          <w:sz w:val="30"/>
          <w:szCs w:val="30"/>
        </w:rPr>
      </w:pPr>
      <w:r>
        <w:rPr>
          <w:rFonts w:hint="eastAsia" w:ascii="仿宋" w:hAnsi="仿宋" w:eastAsia="仿宋"/>
          <w:color w:val="auto"/>
          <w:sz w:val="30"/>
          <w:szCs w:val="30"/>
        </w:rPr>
        <w:t>“简单、坦诚、阳光”是甲方的企业文化，甲方与乙方之间是简单、双赢的企业合作关系，不存在任何个人利益动机。甲乙双方约定在招投标及履约、结算过程中遵守以下廉洁约定。</w:t>
      </w:r>
    </w:p>
    <w:p w14:paraId="601DEAF2">
      <w:pPr>
        <w:tabs>
          <w:tab w:val="left" w:pos="720"/>
        </w:tabs>
        <w:spacing w:before="240"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一、甲方廉洁要求和廉洁主张</w:t>
      </w:r>
    </w:p>
    <w:p w14:paraId="456BF559">
      <w:pPr>
        <w:ind w:firstLine="576" w:firstLineChars="192"/>
        <w:rPr>
          <w:rFonts w:ascii="仿宋" w:hAnsi="仿宋" w:eastAsia="仿宋"/>
          <w:color w:val="auto"/>
          <w:sz w:val="30"/>
          <w:szCs w:val="30"/>
        </w:rPr>
      </w:pPr>
      <w:r>
        <w:rPr>
          <w:rFonts w:hint="eastAsia" w:ascii="仿宋" w:hAnsi="仿宋" w:eastAsia="仿宋"/>
          <w:color w:val="auto"/>
          <w:sz w:val="30"/>
          <w:szCs w:val="30"/>
        </w:rPr>
        <w:t>甲方在招标、议标、中标、合同签订、合同履约、合同付款、合同结算等过程中，要遵守以下廉洁约定：</w:t>
      </w:r>
    </w:p>
    <w:p w14:paraId="0670EC3C">
      <w:pPr>
        <w:tabs>
          <w:tab w:val="left" w:pos="0"/>
        </w:tabs>
        <w:ind w:firstLine="600" w:firstLineChars="200"/>
        <w:rPr>
          <w:rFonts w:ascii="仿宋" w:hAnsi="仿宋" w:eastAsia="仿宋"/>
          <w:color w:val="auto"/>
          <w:sz w:val="30"/>
          <w:szCs w:val="30"/>
        </w:rPr>
      </w:pPr>
      <w:r>
        <w:rPr>
          <w:rFonts w:hint="eastAsia" w:ascii="仿宋" w:hAnsi="仿宋" w:eastAsia="仿宋"/>
          <w:color w:val="auto"/>
          <w:sz w:val="30"/>
          <w:szCs w:val="30"/>
        </w:rPr>
        <w:t>1、甲方要求参与以上活动的本公司员工廉洁自律，不得在以上活动中谋取私利，要求员工遵守《</w:t>
      </w:r>
      <w:r>
        <w:rPr>
          <w:rFonts w:hint="eastAsia" w:ascii="仿宋" w:hAnsi="仿宋" w:eastAsia="仿宋"/>
          <w:color w:val="auto"/>
          <w:sz w:val="30"/>
          <w:szCs w:val="30"/>
          <w:lang w:eastAsia="zh-CN"/>
        </w:rPr>
        <w:t>广西钦州孔雀湾物业服务有限公司</w:t>
      </w:r>
      <w:r>
        <w:rPr>
          <w:rFonts w:hint="eastAsia" w:ascii="仿宋" w:hAnsi="仿宋" w:eastAsia="仿宋"/>
          <w:color w:val="auto"/>
          <w:sz w:val="30"/>
          <w:szCs w:val="30"/>
        </w:rPr>
        <w:t>廉洁从业准则》，不得向乙方索要任何形式的个人利益；</w:t>
      </w:r>
    </w:p>
    <w:p w14:paraId="61109A0B">
      <w:pPr>
        <w:tabs>
          <w:tab w:val="left" w:pos="0"/>
        </w:tabs>
        <w:ind w:firstLine="600" w:firstLineChars="200"/>
        <w:rPr>
          <w:rFonts w:ascii="仿宋" w:hAnsi="仿宋" w:eastAsia="仿宋"/>
          <w:color w:val="auto"/>
          <w:sz w:val="30"/>
          <w:szCs w:val="30"/>
        </w:rPr>
      </w:pPr>
      <w:r>
        <w:rPr>
          <w:rFonts w:hint="eastAsia" w:ascii="仿宋" w:hAnsi="仿宋" w:eastAsia="仿宋"/>
          <w:color w:val="auto"/>
          <w:sz w:val="30"/>
          <w:szCs w:val="30"/>
        </w:rPr>
        <w:t>2、甲方要求参与以上活动的本公司员工主动申报与乙方的关联关系，如存在亲属关系等；</w:t>
      </w:r>
    </w:p>
    <w:p w14:paraId="7041CC30">
      <w:pPr>
        <w:tabs>
          <w:tab w:val="left" w:pos="0"/>
        </w:tabs>
        <w:ind w:left="420" w:leftChars="200" w:firstLine="300" w:firstLineChars="100"/>
        <w:rPr>
          <w:rFonts w:ascii="仿宋" w:hAnsi="仿宋" w:eastAsia="仿宋"/>
          <w:color w:val="auto"/>
          <w:sz w:val="30"/>
          <w:szCs w:val="30"/>
        </w:rPr>
      </w:pPr>
      <w:r>
        <w:rPr>
          <w:rFonts w:hint="eastAsia" w:ascii="仿宋" w:hAnsi="仿宋" w:eastAsia="仿宋"/>
          <w:color w:val="auto"/>
          <w:sz w:val="30"/>
          <w:szCs w:val="30"/>
        </w:rPr>
        <w:t>3、甲方在资格预审、入围名单、招标文件编制、评议标、定标等招标过程中，只会考虑乙方的公司实力，对品质、工期、成本、安全的控制能力，对招标项目的重视程度，项目团队的人员配置、技术文件、对招标文件的响应程度、商务报价的合理性、报价特别优惠条款等因素，任何重要的流程环节，均由甲方的招标委员会集体决策，不会因为任何人的个人利益因素而对乙方有特别的照顾和优惠；</w:t>
      </w:r>
    </w:p>
    <w:p w14:paraId="7DFBA916">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4、乙方一旦中标，成为甲方的合同履约人，在合同签订、合同执行、履约评级、变更签证确认、合同结算等过程中，甲方将严格按合同约定执行，不会因为任何人的个人利益因素而降低合同标准、增加费用、抬高结算金额等；</w:t>
      </w:r>
    </w:p>
    <w:p w14:paraId="74BDA2D4">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5、乙方廉洁要求中要求乙方不得为之的行为，同样适合要求甲方不能主动索要；</w:t>
      </w:r>
    </w:p>
    <w:p w14:paraId="12F4A5E4">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6、发现乙方员工有行贿行为的，甲方应坚决拒绝，并会向乙方领导反馈，根据情况严重性，甲方给予乙方合作供应商名册降级、列入黑名单、或解除合同的处罚；</w:t>
      </w:r>
    </w:p>
    <w:p w14:paraId="7B72B531">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7、对甲方人员违约时，欢迎乙方进行投诉，并对乙方投诉人及投诉内容（举报人、陈述人、证人等）高度保密，甲方在接到投诉后的6个工作日内将给乙方反馈；</w:t>
      </w:r>
    </w:p>
    <w:p w14:paraId="7AA102B5">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8、对于长期支持和敢于揭露甲方有廉洁违规行为的乙方，甲方优先考虑合作机会。</w:t>
      </w:r>
    </w:p>
    <w:p w14:paraId="573A253C">
      <w:pPr>
        <w:tabs>
          <w:tab w:val="left" w:pos="720"/>
        </w:tabs>
        <w:spacing w:before="240" w:line="520" w:lineRule="exact"/>
        <w:ind w:firstLine="900" w:firstLineChars="300"/>
        <w:rPr>
          <w:rFonts w:ascii="仿宋" w:hAnsi="仿宋" w:eastAsia="仿宋"/>
          <w:color w:val="auto"/>
          <w:sz w:val="30"/>
          <w:szCs w:val="30"/>
        </w:rPr>
      </w:pPr>
      <w:r>
        <w:rPr>
          <w:rFonts w:hint="eastAsia" w:ascii="仿宋" w:hAnsi="仿宋" w:eastAsia="仿宋"/>
          <w:color w:val="auto"/>
          <w:sz w:val="30"/>
          <w:szCs w:val="30"/>
        </w:rPr>
        <w:t>二、乙方廉洁要求</w:t>
      </w:r>
    </w:p>
    <w:p w14:paraId="6756C4AE">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1、乙方有义务监督甲方员工廉洁从业，对违反者，有向甲方反馈和举报的义务和权利；</w:t>
      </w:r>
    </w:p>
    <w:p w14:paraId="06A8DAD2">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2、乙方主动如实向</w:t>
      </w:r>
      <w:r>
        <w:rPr>
          <w:rFonts w:hint="eastAsia" w:ascii="仿宋" w:hAnsi="仿宋" w:eastAsia="仿宋"/>
          <w:color w:val="auto"/>
          <w:sz w:val="30"/>
          <w:szCs w:val="30"/>
          <w:lang w:eastAsia="zh-CN"/>
        </w:rPr>
        <w:t>广西钦州孔雀湾物业服务有限公司</w:t>
      </w:r>
      <w:r>
        <w:rPr>
          <w:rFonts w:hint="eastAsia" w:ascii="仿宋" w:hAnsi="仿宋" w:eastAsia="仿宋"/>
          <w:color w:val="auto"/>
          <w:sz w:val="30"/>
          <w:szCs w:val="30"/>
        </w:rPr>
        <w:t>通报是否与</w:t>
      </w:r>
      <w:r>
        <w:rPr>
          <w:rFonts w:hint="eastAsia" w:ascii="仿宋" w:hAnsi="仿宋" w:eastAsia="仿宋"/>
          <w:color w:val="auto"/>
          <w:sz w:val="30"/>
          <w:szCs w:val="30"/>
          <w:lang w:eastAsia="zh-CN"/>
        </w:rPr>
        <w:t>广西钦州孔雀湾物业服务有限公司</w:t>
      </w:r>
      <w:r>
        <w:rPr>
          <w:rFonts w:hint="eastAsia" w:ascii="仿宋" w:hAnsi="仿宋" w:eastAsia="仿宋"/>
          <w:color w:val="auto"/>
          <w:sz w:val="30"/>
          <w:szCs w:val="30"/>
        </w:rPr>
        <w:t>员工存在亲属关系，是否有</w:t>
      </w:r>
      <w:r>
        <w:rPr>
          <w:rFonts w:hint="eastAsia" w:ascii="仿宋" w:hAnsi="仿宋" w:eastAsia="仿宋"/>
          <w:color w:val="auto"/>
          <w:sz w:val="30"/>
          <w:szCs w:val="30"/>
          <w:lang w:eastAsia="zh-CN"/>
        </w:rPr>
        <w:t>广西钦州孔雀湾物业服务有限公司</w:t>
      </w:r>
      <w:r>
        <w:rPr>
          <w:rFonts w:hint="eastAsia" w:ascii="仿宋" w:hAnsi="仿宋" w:eastAsia="仿宋"/>
          <w:color w:val="auto"/>
          <w:sz w:val="30"/>
          <w:szCs w:val="30"/>
        </w:rPr>
        <w:t>离职员工担任重要岗位；</w:t>
      </w:r>
    </w:p>
    <w:p w14:paraId="5FBF0A64">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3、不得与</w:t>
      </w:r>
      <w:r>
        <w:rPr>
          <w:rFonts w:hint="eastAsia" w:ascii="仿宋" w:hAnsi="仿宋" w:eastAsia="仿宋"/>
          <w:color w:val="auto"/>
          <w:sz w:val="30"/>
          <w:szCs w:val="30"/>
          <w:lang w:eastAsia="zh-CN"/>
        </w:rPr>
        <w:t>广西钦州孔雀湾物业服务有限公司</w:t>
      </w:r>
      <w:r>
        <w:rPr>
          <w:rFonts w:hint="eastAsia" w:ascii="仿宋" w:hAnsi="仿宋" w:eastAsia="仿宋"/>
          <w:color w:val="auto"/>
          <w:sz w:val="30"/>
          <w:szCs w:val="30"/>
        </w:rPr>
        <w:t>员工就标底、其他单位的投标书等商业秘密及合同中的质量、价格、服务量、验收等条款进行私下商谈或者达成默契；</w:t>
      </w:r>
    </w:p>
    <w:p w14:paraId="63857850">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4、不得与其他单位串通投标，不得采取恶性竞争等不正当手段竞争业务；</w:t>
      </w:r>
    </w:p>
    <w:p w14:paraId="24DDDA6D">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5、乙方不得向甲方员工及其亲属或其请托人、代理人提供好处费、回扣、现金及有价证券、支付凭证、贵重礼物等；</w:t>
      </w:r>
    </w:p>
    <w:p w14:paraId="06A4A51E">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6、乙方不得向甲方员工及其亲属提供可能影响其公正履行职务行为的宴请和娱乐、体育、休闲、旅游活动；</w:t>
      </w:r>
    </w:p>
    <w:p w14:paraId="4829483C">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7、乙方不得给甲方员工及其亲属报销任何费用；</w:t>
      </w:r>
    </w:p>
    <w:p w14:paraId="13FCC55A">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8、乙方不得向甲方员工及其亲属提供任何住房、交通工具、通讯工具、家电、高档办公用品等物品；</w:t>
      </w:r>
    </w:p>
    <w:p w14:paraId="5A313F55">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9、乙方不得向甲方员工及其亲属提供家庭装修、婚丧嫁娶、工作安排、出国、留学、服务分包、物资供应等行为提供资金及物资的资助；</w:t>
      </w:r>
    </w:p>
    <w:p w14:paraId="17C7D636">
      <w:pPr>
        <w:tabs>
          <w:tab w:val="left" w:pos="0"/>
        </w:tabs>
        <w:ind w:left="420" w:leftChars="200" w:firstLine="600" w:firstLineChars="200"/>
        <w:rPr>
          <w:rFonts w:ascii="仿宋" w:hAnsi="仿宋" w:eastAsia="仿宋"/>
          <w:color w:val="auto"/>
          <w:sz w:val="30"/>
          <w:szCs w:val="30"/>
        </w:rPr>
      </w:pPr>
      <w:r>
        <w:rPr>
          <w:rFonts w:hint="eastAsia" w:ascii="仿宋" w:hAnsi="仿宋" w:eastAsia="仿宋"/>
          <w:color w:val="auto"/>
          <w:sz w:val="30"/>
          <w:szCs w:val="30"/>
        </w:rPr>
        <w:t>10、乙方应当确保乙方人员了解并自觉遵守本准则，发现乙方任何人员有向甲方员工行贿倾向、建议或行为的，应予制止、批评教育。乙方发现甲方员工有索贿、受贿行为的，应坚决拒绝，并向甲方领导或审计部门举报；</w:t>
      </w:r>
    </w:p>
    <w:p w14:paraId="7F4EAA3F">
      <w:pPr>
        <w:tabs>
          <w:tab w:val="left" w:pos="0"/>
        </w:tabs>
        <w:ind w:firstLine="600" w:firstLineChars="200"/>
        <w:rPr>
          <w:rFonts w:ascii="仿宋" w:hAnsi="仿宋" w:eastAsia="仿宋"/>
          <w:color w:val="auto"/>
          <w:sz w:val="30"/>
          <w:szCs w:val="30"/>
        </w:rPr>
      </w:pPr>
      <w:r>
        <w:rPr>
          <w:rFonts w:hint="eastAsia" w:ascii="仿宋" w:hAnsi="仿宋" w:eastAsia="仿宋"/>
          <w:color w:val="auto"/>
          <w:sz w:val="30"/>
          <w:szCs w:val="30"/>
        </w:rPr>
        <w:t>11、乙方向甲方员工及其亲属行贿，被查出属实的，将被列入甲方的黑名单，乙方负责赔偿因此给甲方造成的经济损失，并以后再次合作将受到限制。</w:t>
      </w:r>
    </w:p>
    <w:p w14:paraId="17B39B05">
      <w:pPr>
        <w:tabs>
          <w:tab w:val="left" w:pos="720"/>
        </w:tabs>
        <w:spacing w:before="240" w:line="520" w:lineRule="exact"/>
        <w:ind w:firstLine="600" w:firstLineChars="200"/>
        <w:rPr>
          <w:rFonts w:ascii="仿宋" w:hAnsi="仿宋" w:eastAsia="仿宋"/>
          <w:b/>
          <w:color w:val="auto"/>
          <w:sz w:val="30"/>
          <w:szCs w:val="30"/>
        </w:rPr>
      </w:pPr>
      <w:r>
        <w:rPr>
          <w:rFonts w:hint="eastAsia" w:ascii="仿宋" w:hAnsi="仿宋" w:eastAsia="仿宋"/>
          <w:color w:val="auto"/>
          <w:sz w:val="30"/>
          <w:szCs w:val="30"/>
        </w:rPr>
        <w:t>三、投诉及举报管理</w:t>
      </w:r>
    </w:p>
    <w:p w14:paraId="16813880">
      <w:pPr>
        <w:spacing w:line="480" w:lineRule="auto"/>
        <w:ind w:firstLine="600" w:firstLineChars="200"/>
        <w:rPr>
          <w:rFonts w:ascii="仿宋" w:hAnsi="仿宋" w:eastAsia="仿宋"/>
          <w:color w:val="auto"/>
          <w:sz w:val="30"/>
          <w:szCs w:val="30"/>
        </w:rPr>
      </w:pPr>
      <w:r>
        <w:rPr>
          <w:rFonts w:hint="eastAsia" w:ascii="仿宋" w:hAnsi="仿宋" w:eastAsia="仿宋"/>
          <w:color w:val="auto"/>
          <w:sz w:val="30"/>
          <w:szCs w:val="30"/>
        </w:rPr>
        <w:t>1、甲方投诉及举报管理：</w:t>
      </w:r>
    </w:p>
    <w:p w14:paraId="42C4D2CD">
      <w:pPr>
        <w:spacing w:line="480" w:lineRule="auto"/>
        <w:ind w:firstLine="552"/>
        <w:rPr>
          <w:rFonts w:ascii="仿宋" w:hAnsi="仿宋" w:eastAsia="仿宋"/>
          <w:color w:val="auto"/>
          <w:sz w:val="30"/>
          <w:szCs w:val="30"/>
        </w:rPr>
      </w:pPr>
      <w:r>
        <w:rPr>
          <w:rFonts w:hint="eastAsia" w:ascii="仿宋" w:hAnsi="仿宋" w:eastAsia="仿宋"/>
          <w:color w:val="auto"/>
          <w:sz w:val="30"/>
          <w:szCs w:val="30"/>
        </w:rPr>
        <w:t>甲方设投诉及举报管理：</w:t>
      </w:r>
    </w:p>
    <w:p w14:paraId="4E0DF442">
      <w:pPr>
        <w:spacing w:line="480" w:lineRule="auto"/>
        <w:ind w:firstLine="552"/>
        <w:rPr>
          <w:rFonts w:ascii="仿宋" w:hAnsi="仿宋" w:eastAsia="仿宋"/>
          <w:color w:val="auto"/>
          <w:sz w:val="30"/>
          <w:szCs w:val="30"/>
        </w:rPr>
      </w:pPr>
      <w:r>
        <w:rPr>
          <w:rFonts w:hint="eastAsia" w:ascii="仿宋" w:hAnsi="仿宋" w:eastAsia="仿宋"/>
          <w:color w:val="auto"/>
          <w:sz w:val="30"/>
          <w:szCs w:val="30"/>
        </w:rPr>
        <w:t>甲方设投诉及举报管理部门为：</w:t>
      </w:r>
    </w:p>
    <w:p w14:paraId="42678B27">
      <w:pPr>
        <w:spacing w:line="480" w:lineRule="auto"/>
        <w:ind w:firstLine="552"/>
        <w:rPr>
          <w:rFonts w:ascii="仿宋" w:hAnsi="仿宋" w:eastAsia="仿宋"/>
          <w:color w:val="auto"/>
          <w:sz w:val="30"/>
          <w:szCs w:val="30"/>
        </w:rPr>
      </w:pPr>
      <w:r>
        <w:rPr>
          <w:rFonts w:hint="eastAsia" w:ascii="仿宋" w:hAnsi="仿宋" w:eastAsia="仿宋"/>
          <w:color w:val="auto"/>
          <w:sz w:val="30"/>
          <w:szCs w:val="30"/>
        </w:rPr>
        <w:t>固定电话：</w:t>
      </w:r>
    </w:p>
    <w:p w14:paraId="3EBD930E">
      <w:pPr>
        <w:spacing w:line="480" w:lineRule="auto"/>
        <w:ind w:firstLine="600" w:firstLineChars="200"/>
        <w:rPr>
          <w:rFonts w:ascii="仿宋" w:hAnsi="仿宋" w:eastAsia="仿宋"/>
          <w:color w:val="auto"/>
          <w:sz w:val="30"/>
          <w:szCs w:val="30"/>
        </w:rPr>
      </w:pPr>
      <w:r>
        <w:rPr>
          <w:rFonts w:hint="eastAsia" w:ascii="仿宋" w:hAnsi="仿宋" w:eastAsia="仿宋"/>
          <w:color w:val="auto"/>
          <w:sz w:val="30"/>
          <w:szCs w:val="30"/>
        </w:rPr>
        <w:t>2、乙方投诉及举报管理：</w:t>
      </w:r>
    </w:p>
    <w:p w14:paraId="2FEF0600">
      <w:pPr>
        <w:spacing w:line="480" w:lineRule="auto"/>
        <w:ind w:firstLine="552"/>
        <w:rPr>
          <w:rFonts w:ascii="仿宋" w:hAnsi="仿宋" w:eastAsia="仿宋"/>
          <w:color w:val="auto"/>
          <w:sz w:val="30"/>
          <w:szCs w:val="30"/>
        </w:rPr>
      </w:pPr>
      <w:r>
        <w:rPr>
          <w:rFonts w:hint="eastAsia" w:ascii="仿宋" w:hAnsi="仿宋" w:eastAsia="仿宋"/>
          <w:color w:val="auto"/>
          <w:sz w:val="30"/>
          <w:szCs w:val="30"/>
        </w:rPr>
        <w:t>乙方设投诉及举报管理部门为：</w:t>
      </w:r>
    </w:p>
    <w:p w14:paraId="67C17378">
      <w:pPr>
        <w:spacing w:line="480" w:lineRule="auto"/>
        <w:ind w:firstLine="552"/>
        <w:rPr>
          <w:rFonts w:ascii="仿宋" w:hAnsi="仿宋" w:eastAsia="仿宋"/>
          <w:color w:val="auto"/>
          <w:sz w:val="30"/>
          <w:szCs w:val="30"/>
        </w:rPr>
      </w:pPr>
      <w:r>
        <w:rPr>
          <w:rFonts w:hint="eastAsia" w:ascii="仿宋" w:hAnsi="仿宋" w:eastAsia="仿宋"/>
          <w:color w:val="auto"/>
          <w:sz w:val="30"/>
          <w:szCs w:val="30"/>
        </w:rPr>
        <w:t>邮箱：</w:t>
      </w:r>
    </w:p>
    <w:p w14:paraId="366534E9">
      <w:pPr>
        <w:tabs>
          <w:tab w:val="center" w:pos="4429"/>
        </w:tabs>
        <w:spacing w:line="480" w:lineRule="auto"/>
        <w:ind w:firstLine="552"/>
        <w:rPr>
          <w:rFonts w:ascii="仿宋" w:hAnsi="仿宋" w:eastAsia="仿宋"/>
          <w:color w:val="auto"/>
          <w:sz w:val="30"/>
          <w:szCs w:val="30"/>
        </w:rPr>
      </w:pPr>
      <w:r>
        <w:rPr>
          <w:rFonts w:hint="eastAsia" w:ascii="仿宋" w:hAnsi="仿宋" w:eastAsia="仿宋"/>
          <w:color w:val="auto"/>
          <w:sz w:val="30"/>
          <w:szCs w:val="30"/>
        </w:rPr>
        <w:t>电话：</w:t>
      </w:r>
      <w:r>
        <w:rPr>
          <w:rFonts w:ascii="仿宋" w:hAnsi="仿宋" w:eastAsia="仿宋"/>
          <w:color w:val="auto"/>
          <w:sz w:val="30"/>
          <w:szCs w:val="30"/>
        </w:rPr>
        <w:tab/>
      </w:r>
    </w:p>
    <w:p w14:paraId="32A81C55">
      <w:pPr>
        <w:spacing w:line="520" w:lineRule="exact"/>
        <w:rPr>
          <w:rFonts w:ascii="仿宋" w:hAnsi="仿宋" w:eastAsia="仿宋"/>
          <w:color w:val="auto"/>
          <w:sz w:val="30"/>
          <w:szCs w:val="30"/>
        </w:rPr>
      </w:pPr>
    </w:p>
    <w:p w14:paraId="512FF442">
      <w:pPr>
        <w:spacing w:line="720" w:lineRule="auto"/>
        <w:rPr>
          <w:rFonts w:ascii="仿宋" w:hAnsi="仿宋" w:eastAsia="仿宋"/>
          <w:color w:val="auto"/>
          <w:sz w:val="30"/>
          <w:szCs w:val="30"/>
        </w:rPr>
      </w:pPr>
      <w:r>
        <w:rPr>
          <w:rFonts w:hint="eastAsia" w:ascii="仿宋" w:hAnsi="仿宋" w:eastAsia="仿宋"/>
          <w:color w:val="auto"/>
          <w:sz w:val="30"/>
          <w:szCs w:val="30"/>
        </w:rPr>
        <w:t>甲方：（盖章）                       乙方：（盖章）</w:t>
      </w:r>
    </w:p>
    <w:p w14:paraId="33FC4095">
      <w:pPr>
        <w:spacing w:line="720" w:lineRule="auto"/>
        <w:rPr>
          <w:rFonts w:ascii="仿宋" w:hAnsi="仿宋" w:eastAsia="仿宋"/>
          <w:color w:val="auto"/>
          <w:sz w:val="30"/>
          <w:szCs w:val="30"/>
        </w:rPr>
      </w:pPr>
      <w:r>
        <w:rPr>
          <w:rFonts w:hint="eastAsia" w:ascii="仿宋" w:hAnsi="仿宋" w:eastAsia="仿宋"/>
          <w:color w:val="auto"/>
          <w:sz w:val="30"/>
          <w:szCs w:val="30"/>
        </w:rPr>
        <w:t>负责人或授权委托人：            法定代表人或授权委托人：日期：                              日期：</w:t>
      </w:r>
    </w:p>
    <w:p w14:paraId="68642B58">
      <w:pPr>
        <w:spacing w:line="520" w:lineRule="exact"/>
        <w:ind w:firstLine="560"/>
        <w:rPr>
          <w:rFonts w:ascii="仿宋" w:hAnsi="仿宋" w:eastAsia="仿宋"/>
          <w:color w:val="auto"/>
          <w:sz w:val="30"/>
          <w:szCs w:val="30"/>
        </w:rPr>
      </w:pPr>
      <w:r>
        <w:rPr>
          <w:rFonts w:hint="eastAsia" w:ascii="仿宋" w:hAnsi="仿宋" w:eastAsia="仿宋"/>
          <w:color w:val="auto"/>
          <w:sz w:val="30"/>
          <w:szCs w:val="30"/>
        </w:rPr>
        <w:br w:type="page"/>
      </w:r>
    </w:p>
    <w:p w14:paraId="5A6C96C6">
      <w:pPr>
        <w:snapToGrid w:val="0"/>
        <w:spacing w:before="240" w:after="240" w:line="520" w:lineRule="exact"/>
        <w:rPr>
          <w:rFonts w:ascii="仿宋" w:hAnsi="仿宋" w:eastAsia="仿宋"/>
          <w:b/>
          <w:bCs/>
          <w:color w:val="auto"/>
          <w:sz w:val="30"/>
          <w:szCs w:val="30"/>
        </w:rPr>
      </w:pPr>
      <w:r>
        <w:rPr>
          <w:rFonts w:hint="eastAsia" w:ascii="仿宋" w:hAnsi="仿宋" w:eastAsia="仿宋"/>
          <w:b/>
          <w:bCs/>
          <w:color w:val="auto"/>
          <w:sz w:val="30"/>
          <w:szCs w:val="30"/>
        </w:rPr>
        <w:t>附件九：阳光宣言</w:t>
      </w:r>
    </w:p>
    <w:p w14:paraId="31159A00">
      <w:pPr>
        <w:autoSpaceDE w:val="0"/>
        <w:autoSpaceDN w:val="0"/>
        <w:adjustRightInd w:val="0"/>
        <w:spacing w:before="312" w:beforeLines="100" w:after="312" w:afterLines="100" w:line="520" w:lineRule="exact"/>
        <w:jc w:val="center"/>
        <w:rPr>
          <w:rFonts w:ascii="仿宋" w:hAnsi="仿宋" w:eastAsia="仿宋" w:cs="仿宋"/>
          <w:color w:val="auto"/>
          <w:sz w:val="30"/>
          <w:szCs w:val="30"/>
        </w:rPr>
      </w:pPr>
      <w:r>
        <w:rPr>
          <w:rFonts w:hint="eastAsia" w:ascii="仿宋" w:hAnsi="仿宋" w:eastAsia="仿宋" w:cs="仿宋"/>
          <w:color w:val="auto"/>
          <w:sz w:val="30"/>
          <w:szCs w:val="30"/>
        </w:rPr>
        <w:t>阳 光 宣 言</w:t>
      </w:r>
    </w:p>
    <w:p w14:paraId="7E5D9EEC">
      <w:pPr>
        <w:spacing w:line="520" w:lineRule="exact"/>
        <w:ind w:firstLine="600" w:firstLineChars="200"/>
        <w:jc w:val="left"/>
        <w:rPr>
          <w:rFonts w:ascii="仿宋" w:hAnsi="仿宋" w:eastAsia="仿宋"/>
          <w:color w:val="auto"/>
          <w:sz w:val="30"/>
          <w:szCs w:val="30"/>
        </w:rPr>
      </w:pPr>
      <w:r>
        <w:rPr>
          <w:rFonts w:ascii="仿宋" w:hAnsi="仿宋" w:eastAsia="仿宋"/>
          <w:color w:val="auto"/>
          <w:sz w:val="30"/>
          <w:szCs w:val="30"/>
        </w:rPr>
        <w:t>为了发扬</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“诚实守信”的企业文化，奉行“公开、公正、公平”的交易原则，推动与合作伙伴建立简单、 双赢的合作关系， 避免任何个人利益因素干扰，</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倡导与合作伙伴共同遵守以下行为准则：</w:t>
      </w:r>
    </w:p>
    <w:p w14:paraId="0E8118AE">
      <w:pPr>
        <w:spacing w:line="520" w:lineRule="exact"/>
        <w:ind w:firstLine="600" w:firstLineChars="200"/>
        <w:jc w:val="left"/>
        <w:rPr>
          <w:rFonts w:ascii="仿宋" w:hAnsi="仿宋" w:eastAsia="仿宋"/>
          <w:color w:val="auto"/>
          <w:sz w:val="30"/>
          <w:szCs w:val="30"/>
        </w:rPr>
      </w:pPr>
      <w:r>
        <w:rPr>
          <w:rFonts w:ascii="仿宋" w:hAnsi="仿宋" w:eastAsia="仿宋"/>
          <w:color w:val="auto"/>
          <w:sz w:val="30"/>
          <w:szCs w:val="30"/>
        </w:rPr>
        <w:t>1.不以向</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员工及其亲属或其他特定关系人提供任何个人利益的方式谋求与</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的合作关系；</w:t>
      </w:r>
    </w:p>
    <w:p w14:paraId="091A9B93">
      <w:pPr>
        <w:spacing w:line="520" w:lineRule="exact"/>
        <w:ind w:firstLine="600" w:firstLineChars="200"/>
        <w:jc w:val="left"/>
        <w:rPr>
          <w:rFonts w:ascii="仿宋" w:hAnsi="仿宋" w:eastAsia="仿宋"/>
          <w:color w:val="auto"/>
          <w:sz w:val="30"/>
          <w:szCs w:val="30"/>
        </w:rPr>
      </w:pPr>
      <w:r>
        <w:rPr>
          <w:rFonts w:ascii="仿宋" w:hAnsi="仿宋" w:eastAsia="仿宋"/>
          <w:color w:val="auto"/>
          <w:sz w:val="30"/>
          <w:szCs w:val="30"/>
        </w:rPr>
        <w:t>2.不轻信任何实际存在的或虚构的所谓关系，并主动如实向</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通报本单位是否有股东或内部员工与</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员工存在亲属关系，是否有</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 xml:space="preserve">离职员工在本单位重要岗位任职； </w:t>
      </w:r>
    </w:p>
    <w:p w14:paraId="2D11CA31">
      <w:pPr>
        <w:spacing w:line="520" w:lineRule="exact"/>
        <w:ind w:firstLine="600" w:firstLineChars="200"/>
        <w:jc w:val="left"/>
        <w:rPr>
          <w:rFonts w:ascii="仿宋" w:hAnsi="仿宋" w:eastAsia="仿宋"/>
          <w:color w:val="auto"/>
          <w:sz w:val="30"/>
          <w:szCs w:val="30"/>
        </w:rPr>
      </w:pPr>
      <w:r>
        <w:rPr>
          <w:rFonts w:ascii="仿宋" w:hAnsi="仿宋" w:eastAsia="仿宋"/>
          <w:color w:val="auto"/>
          <w:sz w:val="30"/>
          <w:szCs w:val="30"/>
        </w:rPr>
        <w:t>3.不与</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 xml:space="preserve">员工就标底、其他单位的投标书等商业秘密及合同中的业务条款进行私下商谈或者达成默契； </w:t>
      </w:r>
    </w:p>
    <w:p w14:paraId="404915D9">
      <w:pPr>
        <w:spacing w:line="520" w:lineRule="exact"/>
        <w:ind w:firstLine="600" w:firstLineChars="200"/>
        <w:jc w:val="left"/>
        <w:rPr>
          <w:rFonts w:ascii="仿宋" w:hAnsi="仿宋" w:eastAsia="仿宋"/>
          <w:color w:val="auto"/>
          <w:sz w:val="30"/>
          <w:szCs w:val="30"/>
        </w:rPr>
      </w:pPr>
      <w:r>
        <w:rPr>
          <w:rFonts w:ascii="仿宋" w:hAnsi="仿宋" w:eastAsia="仿宋"/>
          <w:color w:val="auto"/>
          <w:sz w:val="30"/>
          <w:szCs w:val="30"/>
        </w:rPr>
        <w:t xml:space="preserve">4.不与其他单位串通投标，不采取恶性竞争等不正当手段竞争业务； </w:t>
      </w:r>
    </w:p>
    <w:p w14:paraId="514A1F1F">
      <w:pPr>
        <w:spacing w:line="520" w:lineRule="exact"/>
        <w:ind w:firstLine="600" w:firstLineChars="200"/>
        <w:jc w:val="left"/>
        <w:rPr>
          <w:rFonts w:ascii="仿宋" w:hAnsi="仿宋" w:eastAsia="仿宋"/>
          <w:color w:val="auto"/>
          <w:sz w:val="30"/>
          <w:szCs w:val="30"/>
        </w:rPr>
      </w:pPr>
      <w:r>
        <w:rPr>
          <w:rFonts w:ascii="仿宋" w:hAnsi="仿宋" w:eastAsia="仿宋"/>
          <w:color w:val="auto"/>
          <w:sz w:val="30"/>
          <w:szCs w:val="30"/>
        </w:rPr>
        <w:t>5.不在与</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合作中弄虚作假、虚报或谎报工程量；</w:t>
      </w:r>
    </w:p>
    <w:p w14:paraId="73317623">
      <w:pPr>
        <w:spacing w:line="520" w:lineRule="exact"/>
        <w:jc w:val="left"/>
        <w:rPr>
          <w:rFonts w:ascii="仿宋" w:hAnsi="仿宋" w:eastAsia="仿宋"/>
          <w:color w:val="auto"/>
          <w:sz w:val="30"/>
          <w:szCs w:val="30"/>
        </w:rPr>
      </w:pPr>
      <w:r>
        <w:rPr>
          <w:rFonts w:ascii="仿宋" w:hAnsi="仿宋" w:eastAsia="仿宋"/>
          <w:color w:val="auto"/>
          <w:sz w:val="30"/>
          <w:szCs w:val="30"/>
        </w:rPr>
        <w:t xml:space="preserve">    6.不向</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 xml:space="preserve">员工或其请托人、代理人提供好处费、回扣、现金及有价证券、支付凭证、贵重礼物； </w:t>
      </w:r>
    </w:p>
    <w:p w14:paraId="29A05557">
      <w:pPr>
        <w:spacing w:line="520" w:lineRule="exact"/>
        <w:ind w:firstLine="600" w:firstLineChars="200"/>
        <w:jc w:val="left"/>
        <w:rPr>
          <w:rFonts w:ascii="仿宋" w:hAnsi="仿宋" w:eastAsia="仿宋"/>
          <w:color w:val="auto"/>
          <w:sz w:val="30"/>
          <w:szCs w:val="30"/>
        </w:rPr>
      </w:pPr>
      <w:r>
        <w:rPr>
          <w:rFonts w:ascii="仿宋" w:hAnsi="仿宋" w:eastAsia="仿宋"/>
          <w:color w:val="auto"/>
          <w:sz w:val="30"/>
          <w:szCs w:val="30"/>
        </w:rPr>
        <w:t>7.不向</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 xml:space="preserve">员工及其亲属或其他特定关系人提供可能影响其公正履行职务行为的宴请和娱乐、体育、休闲、旅游活动； </w:t>
      </w:r>
    </w:p>
    <w:p w14:paraId="1AD376E7">
      <w:pPr>
        <w:spacing w:line="520" w:lineRule="exact"/>
        <w:ind w:firstLine="600" w:firstLineChars="200"/>
        <w:jc w:val="left"/>
        <w:rPr>
          <w:rFonts w:ascii="仿宋" w:hAnsi="仿宋" w:eastAsia="仿宋"/>
          <w:color w:val="auto"/>
          <w:sz w:val="30"/>
          <w:szCs w:val="30"/>
        </w:rPr>
      </w:pPr>
      <w:r>
        <w:rPr>
          <w:rFonts w:ascii="仿宋" w:hAnsi="仿宋" w:eastAsia="仿宋"/>
          <w:color w:val="auto"/>
          <w:sz w:val="30"/>
          <w:szCs w:val="30"/>
        </w:rPr>
        <w:t>8.不给</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员工及其亲属或其他特定关系人报销任何费用；</w:t>
      </w:r>
    </w:p>
    <w:p w14:paraId="08A4AD08">
      <w:pPr>
        <w:spacing w:line="520" w:lineRule="exact"/>
        <w:ind w:firstLine="600" w:firstLineChars="200"/>
        <w:rPr>
          <w:rFonts w:ascii="仿宋" w:hAnsi="仿宋" w:eastAsia="仿宋"/>
          <w:color w:val="auto"/>
          <w:sz w:val="30"/>
          <w:szCs w:val="30"/>
        </w:rPr>
      </w:pPr>
      <w:r>
        <w:rPr>
          <w:rFonts w:ascii="仿宋" w:hAnsi="仿宋" w:eastAsia="仿宋"/>
          <w:color w:val="auto"/>
          <w:sz w:val="30"/>
          <w:szCs w:val="30"/>
        </w:rPr>
        <w:t>9.不向</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 xml:space="preserve">员工及其亲属或其他特定关系人提供住房、交通工具、通讯工具、家电、高档办公用品等物品； </w:t>
      </w:r>
    </w:p>
    <w:p w14:paraId="287E614E">
      <w:pPr>
        <w:spacing w:line="520" w:lineRule="exact"/>
        <w:ind w:firstLine="600" w:firstLineChars="200"/>
        <w:rPr>
          <w:rFonts w:ascii="仿宋" w:hAnsi="仿宋" w:eastAsia="仿宋"/>
          <w:color w:val="auto"/>
          <w:sz w:val="30"/>
          <w:szCs w:val="30"/>
        </w:rPr>
      </w:pPr>
      <w:r>
        <w:rPr>
          <w:rFonts w:ascii="仿宋" w:hAnsi="仿宋" w:eastAsia="仿宋"/>
          <w:color w:val="auto"/>
          <w:sz w:val="30"/>
          <w:szCs w:val="30"/>
        </w:rPr>
        <w:t>10.不向</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 xml:space="preserve">员工及其亲属或其他特定关系人的家庭装修、婚丧嫁娶、工作安排、出国、留学等提供资金或物资资助； </w:t>
      </w:r>
    </w:p>
    <w:p w14:paraId="51AC310A">
      <w:pPr>
        <w:spacing w:line="520" w:lineRule="exact"/>
        <w:ind w:firstLine="600" w:firstLineChars="200"/>
        <w:rPr>
          <w:rFonts w:ascii="仿宋" w:hAnsi="仿宋" w:eastAsia="仿宋"/>
          <w:color w:val="auto"/>
          <w:sz w:val="30"/>
          <w:szCs w:val="30"/>
        </w:rPr>
      </w:pPr>
      <w:r>
        <w:rPr>
          <w:rFonts w:ascii="仿宋" w:hAnsi="仿宋" w:eastAsia="仿宋"/>
          <w:color w:val="auto"/>
          <w:sz w:val="30"/>
          <w:szCs w:val="30"/>
        </w:rPr>
        <w:t>11.发现本单位人员有向</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员工行贿倾向、建议或行为的，应立即予以制止、严肃处理；发现</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员工及其亲属或其他特定关系人有索贿、受贿行为的，应坚决拒绝，并及时向</w:t>
      </w: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 xml:space="preserve">领导或纪检监察部举报； </w:t>
      </w:r>
    </w:p>
    <w:p w14:paraId="455726AC">
      <w:pPr>
        <w:spacing w:line="520" w:lineRule="exact"/>
        <w:ind w:firstLine="600" w:firstLineChars="200"/>
        <w:rPr>
          <w:rFonts w:ascii="仿宋" w:hAnsi="仿宋" w:eastAsia="仿宋"/>
          <w:color w:val="auto"/>
          <w:sz w:val="30"/>
          <w:szCs w:val="30"/>
        </w:rPr>
      </w:pPr>
      <w:r>
        <w:rPr>
          <w:rFonts w:ascii="仿宋" w:hAnsi="仿宋" w:eastAsia="仿宋"/>
          <w:color w:val="auto"/>
          <w:sz w:val="30"/>
          <w:szCs w:val="30"/>
        </w:rPr>
        <w:t>12.如出现违反宣言的行为，经核查属实的， 将追究有关单位和人员责任， 双方再次合作将受到限制。</w:t>
      </w:r>
    </w:p>
    <w:p w14:paraId="35895F6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lang w:eastAsia="zh-CN"/>
        </w:rPr>
        <w:t>广西钦州孔雀湾物业服务有限公司</w:t>
      </w:r>
      <w:r>
        <w:rPr>
          <w:rFonts w:ascii="仿宋" w:hAnsi="仿宋" w:eastAsia="仿宋"/>
          <w:color w:val="auto"/>
          <w:sz w:val="30"/>
          <w:szCs w:val="30"/>
        </w:rPr>
        <w:t>与合作伙伴应积极向员工宣传本宣言，使员工了解并自觉践行宣言， 共同营造廉洁、高效、坦诚的合作氛围。</w:t>
      </w:r>
    </w:p>
    <w:p w14:paraId="694E7267">
      <w:pPr>
        <w:spacing w:line="520" w:lineRule="exact"/>
        <w:rPr>
          <w:rFonts w:ascii="仿宋" w:hAnsi="仿宋" w:eastAsia="仿宋"/>
          <w:color w:val="auto"/>
          <w:sz w:val="30"/>
          <w:szCs w:val="30"/>
        </w:rPr>
      </w:pPr>
    </w:p>
    <w:p w14:paraId="5D71E3E8">
      <w:pPr>
        <w:spacing w:line="530" w:lineRule="exact"/>
        <w:rPr>
          <w:rFonts w:ascii="仿宋" w:hAnsi="仿宋" w:eastAsia="仿宋"/>
          <w:b/>
          <w:bCs/>
          <w:color w:val="auto"/>
          <w:sz w:val="30"/>
          <w:szCs w:val="30"/>
        </w:rPr>
      </w:pPr>
      <w:r>
        <w:rPr>
          <w:rFonts w:hint="eastAsia" w:ascii="仿宋" w:hAnsi="仿宋" w:eastAsia="仿宋"/>
          <w:bCs/>
          <w:color w:val="auto"/>
          <w:sz w:val="30"/>
          <w:szCs w:val="30"/>
        </w:rPr>
        <w:br w:type="page"/>
      </w:r>
      <w:r>
        <w:rPr>
          <w:rFonts w:hint="eastAsia" w:ascii="仿宋" w:hAnsi="仿宋" w:eastAsia="仿宋"/>
          <w:b/>
          <w:bCs/>
          <w:color w:val="auto"/>
          <w:sz w:val="30"/>
          <w:szCs w:val="30"/>
        </w:rPr>
        <w:t>附件十：入场作业安全承诺书</w:t>
      </w:r>
    </w:p>
    <w:p w14:paraId="17EEC6E3">
      <w:pPr>
        <w:spacing w:line="530" w:lineRule="exact"/>
        <w:jc w:val="center"/>
        <w:rPr>
          <w:rFonts w:ascii="仿宋" w:hAnsi="仿宋" w:eastAsia="仿宋" w:cs="宋体"/>
          <w:b/>
          <w:color w:val="auto"/>
          <w:sz w:val="30"/>
          <w:szCs w:val="30"/>
        </w:rPr>
      </w:pPr>
      <w:r>
        <w:rPr>
          <w:rFonts w:hint="eastAsia" w:ascii="仿宋" w:hAnsi="仿宋" w:eastAsia="仿宋" w:cs="宋体"/>
          <w:bCs/>
          <w:color w:val="auto"/>
          <w:sz w:val="30"/>
          <w:szCs w:val="30"/>
        </w:rPr>
        <w:t>入场作业安全承诺书</w:t>
      </w:r>
    </w:p>
    <w:p w14:paraId="49DF002C">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为确保与甲方公司项目（以下简称“本项目”）作业安全，本单位及项目经理承诺对本次作业范围内的安全生产事故承担责任，现承诺内容如下：</w:t>
      </w:r>
    </w:p>
    <w:p w14:paraId="1E6E2916">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1、本单位已经取得承揽本项目对应等级的资质证书，本项目施工人员和服务人员均已取得对应工种的操作许可证及相关证书，资质证书及操作许可证等相关证书的有效期全部涵盖本项目期限。本单位于项目开始实施前将资质证书、操作许可证及相关证书原件出示甲方并将复印件交予甲方备案。</w:t>
      </w:r>
    </w:p>
    <w:p w14:paraId="64D2864B">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2、本单位承诺不再对项目进行分包或转包。</w:t>
      </w:r>
    </w:p>
    <w:p w14:paraId="0DD004C6">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3、在本项目完成之前，本单位委派的项目实施人员的年龄不超过法定退休年龄，实施人员均已购买社会保险（含工伤保险）及雇主责任险，甲方有权对本单位委派的人员进行监督并随时可以要求更换，甲方要求更换人员的，本单位承诺即日予以更换。本单位于项目实施前将全部作业人员的身份证、社会保险参保证明及人身意外险保单复印件提交甲方备案。</w:t>
      </w:r>
    </w:p>
    <w:p w14:paraId="5FEA8C6F">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4、在本项目开始实施前，本单位针对项目的具体实施特点制定《作业计划》、《安全作业操作规程》、《作业过程安全隐患清单》（并针对安全隐患编制《安全隐患管理方案》）及《安全事故应急处置方案》等内容报甲方备案。</w:t>
      </w:r>
    </w:p>
    <w:p w14:paraId="6024B7AE">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5、在本项目开始实施前，本单位将组织全部作业人员进行安全技术培训，保证从业人员掌握必需的安全作业知识、操作技能和应急逃生技能，未经培训合格，不予安排上岗，杜绝违章指挥、违章作业、疲劳作业。</w:t>
      </w:r>
    </w:p>
    <w:p w14:paraId="4DA23180">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6、在本项目实施过程中，本单位按照每个项目现场配置项目经理一名，负责项目实施过程中的现场管理工作，未经甲方同意，项目经理不得擅自离岗或更换。</w:t>
      </w:r>
    </w:p>
    <w:p w14:paraId="77C66578">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7、在本项目实施过程中，本单位严格按照预定《作业计划》具体实施，禁止未持有甲方颁发《作业证》的人员进入施工现场，现场作业人员必须采取佩带安全帽等安全防护措施。</w:t>
      </w:r>
    </w:p>
    <w:p w14:paraId="337D437F">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8、在本项目实施过程中，本单位对作业区域采取必要的安全措施防止安全事故发生，包括但不限于：设置安全警示牌、警示灯、隔离带、安全网等方式，作业过程中严禁高空抛物或高空坠物。</w:t>
      </w:r>
    </w:p>
    <w:p w14:paraId="06B48105">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9、在本项目实施过程中，需要使用明火、电、气体以及其他有毒、有害物品时，本单位将安排具有相应从业资格（在该工种没有从业资格的情况下，安排具有实施经验的人员）组织实施并妥善保管上述物品。</w:t>
      </w:r>
    </w:p>
    <w:p w14:paraId="006C165B">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10、在本项目实施过程中，对可能造成损害的毗邻建筑物、构筑物、地下管线及其他设施等必须做好提前预案并采取专项防护措施。无论因何种原因的造成财产损失及其他一切损失，本单位承诺予以赔偿。</w:t>
      </w:r>
    </w:p>
    <w:p w14:paraId="00B5EA07">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11、在本项目实施过程中所投入使用的机械、设备、安全防护用品、劳保用品等必须符合国家、省、市规定的安全使用标准，外观完好且在有效使用期限内。</w:t>
      </w:r>
    </w:p>
    <w:p w14:paraId="36AED65E">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12、在本项目实施过程中，当天产生的垃圾由本单位在当日作业完成后清扫干净，清扫的垃圾以及作业工具必须堆放在甲方指定地点。</w:t>
      </w:r>
    </w:p>
    <w:p w14:paraId="2C024E48">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13、在本项目实施完毕后，本单位于实施完毕当日完成所有垃圾清扫以及撤场手续。</w:t>
      </w:r>
    </w:p>
    <w:p w14:paraId="4614F4D0">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14、本单位如违反上述承诺，甲方有权选择按照每次</w:t>
      </w:r>
      <w:r>
        <w:rPr>
          <w:rFonts w:hint="eastAsia" w:ascii="仿宋" w:hAnsi="仿宋" w:eastAsia="仿宋" w:cs="宋体"/>
          <w:color w:val="auto"/>
          <w:sz w:val="30"/>
          <w:szCs w:val="30"/>
          <w:u w:val="single"/>
        </w:rPr>
        <w:t>1万</w:t>
      </w:r>
      <w:r>
        <w:rPr>
          <w:rFonts w:hint="eastAsia" w:ascii="仿宋" w:hAnsi="仿宋" w:eastAsia="仿宋" w:cs="宋体"/>
          <w:color w:val="auto"/>
          <w:sz w:val="30"/>
          <w:szCs w:val="30"/>
        </w:rPr>
        <w:t>元的标准要求乙方支付违约金或者要求解除合同，甲方选择解除合同的，本单位应向甲方支付合同总价款20%的违约金并同时退回已收取甲方支付的款项，违约金不足以弥补甲方损失的，本单位承诺予以赔偿。</w:t>
      </w:r>
    </w:p>
    <w:p w14:paraId="260DC67D">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15、本单位承诺在项目作业期间，如作业人员发生工伤、意外等事故，造成人身或者财产损失的，一切法律责任（包括但不限于赔偿经济损失）由本单位自行承担。甲方如因此承担赔偿责任的，甲方有权向本单位追偿，同时本单位还应承担甲方维权所产生的律师费、差旅费、鉴定费、公证费等必要维权开支。</w:t>
      </w:r>
    </w:p>
    <w:p w14:paraId="72C7BCB0">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16、本单位承诺在项目作业期间，如作业过程中导致第三方人身或财产损害的，给第三方造成的损失（包括但不限于赔偿经济损失）由本单位自行承担。甲方如因此承担赔偿责任的，甲方有权向本单位追偿，同时本单位还应承担甲方维权所产生的律师费、差旅费、鉴定费、公证费等必要维权开支。</w:t>
      </w:r>
    </w:p>
    <w:p w14:paraId="4C88F2B5">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17、本单位承诺在项目作业期间，如因作业过程导致甲方遭受行政机关或司法机关处罚或调查的，本单位无条件配合行政机关或司法机关工作至正式结案之日止，因此给甲方造成的全部损失（包括但不限于行政、刑事赔偿、罚款、罚金、滞纳金等）由本单位承担。甲方如因此先行承担赔偿责任的，甲方有权向本单位追偿，同时本单位还应承担甲方维权所产生的律师费、差旅费、鉴定费、公证费等必要维权开支。</w:t>
      </w:r>
    </w:p>
    <w:p w14:paraId="67FF96FF">
      <w:pPr>
        <w:spacing w:line="530" w:lineRule="exact"/>
        <w:ind w:firstLine="600" w:firstLineChars="200"/>
        <w:rPr>
          <w:rFonts w:ascii="仿宋" w:hAnsi="仿宋" w:eastAsia="仿宋" w:cs="宋体"/>
          <w:color w:val="auto"/>
          <w:sz w:val="30"/>
          <w:szCs w:val="30"/>
        </w:rPr>
      </w:pPr>
      <w:r>
        <w:rPr>
          <w:rFonts w:hint="eastAsia" w:ascii="仿宋" w:hAnsi="仿宋" w:eastAsia="仿宋" w:cs="宋体"/>
          <w:color w:val="auto"/>
          <w:sz w:val="30"/>
          <w:szCs w:val="30"/>
        </w:rPr>
        <w:t>18、本人为项目的（</w:t>
      </w:r>
      <w:r>
        <w:rPr>
          <w:rFonts w:hint="eastAsia" w:ascii="仿宋" w:hAnsi="仿宋" w:eastAsia="仿宋" w:cs="宋体"/>
          <w:color w:val="auto"/>
          <w:sz w:val="44"/>
          <w:szCs w:val="30"/>
          <w:lang w:eastAsia="zh-CN"/>
        </w:rPr>
        <w:t>□</w:t>
      </w:r>
      <w:r>
        <w:rPr>
          <w:rFonts w:hint="eastAsia" w:ascii="仿宋" w:hAnsi="仿宋" w:eastAsia="仿宋" w:cs="宋体"/>
          <w:color w:val="auto"/>
          <w:sz w:val="30"/>
          <w:szCs w:val="30"/>
        </w:rPr>
        <w:t xml:space="preserve">项目经理 </w:t>
      </w:r>
      <w:r>
        <w:rPr>
          <w:rFonts w:hint="eastAsia" w:ascii="仿宋" w:hAnsi="仿宋" w:eastAsia="仿宋" w:cs="宋体"/>
          <w:color w:val="auto"/>
          <w:sz w:val="44"/>
          <w:szCs w:val="30"/>
          <w:lang w:eastAsia="zh-CN"/>
        </w:rPr>
        <w:t>□</w:t>
      </w:r>
      <w:r>
        <w:rPr>
          <w:rFonts w:hint="eastAsia" w:ascii="仿宋" w:hAnsi="仿宋" w:eastAsia="仿宋" w:cs="宋体"/>
          <w:color w:val="auto"/>
          <w:sz w:val="30"/>
          <w:szCs w:val="30"/>
        </w:rPr>
        <w:t>负责人），姓名：</w:t>
      </w:r>
      <w:r>
        <w:rPr>
          <w:rFonts w:hint="eastAsia" w:ascii="仿宋" w:hAnsi="仿宋" w:eastAsia="仿宋" w:cs="宋体"/>
          <w:color w:val="auto"/>
          <w:sz w:val="30"/>
          <w:szCs w:val="30"/>
          <w:u w:val="single"/>
          <w:lang w:val="en-US" w:eastAsia="zh-CN"/>
        </w:rPr>
        <w:t xml:space="preserve">   </w:t>
      </w:r>
      <w:r>
        <w:rPr>
          <w:rFonts w:hint="eastAsia" w:ascii="仿宋" w:hAnsi="仿宋" w:eastAsia="仿宋" w:cs="宋体"/>
          <w:color w:val="auto"/>
          <w:sz w:val="30"/>
          <w:szCs w:val="30"/>
          <w:u w:val="single"/>
        </w:rPr>
        <w:t xml:space="preserve"> </w:t>
      </w:r>
      <w:r>
        <w:rPr>
          <w:rFonts w:hint="eastAsia" w:ascii="仿宋" w:hAnsi="仿宋" w:eastAsia="仿宋" w:cs="宋体"/>
          <w:color w:val="auto"/>
          <w:sz w:val="30"/>
          <w:szCs w:val="30"/>
        </w:rPr>
        <w:t>，身份证号码：</w:t>
      </w:r>
      <w:r>
        <w:rPr>
          <w:rFonts w:hint="eastAsia" w:ascii="仿宋" w:hAnsi="仿宋" w:eastAsia="仿宋" w:cs="宋体"/>
          <w:color w:val="auto"/>
          <w:sz w:val="30"/>
          <w:szCs w:val="30"/>
          <w:u w:val="single"/>
        </w:rPr>
        <w:t xml:space="preserve"> </w:t>
      </w:r>
      <w:r>
        <w:rPr>
          <w:rFonts w:hint="eastAsia" w:ascii="仿宋" w:hAnsi="仿宋" w:eastAsia="仿宋" w:cs="宋体"/>
          <w:color w:val="auto"/>
          <w:sz w:val="30"/>
          <w:szCs w:val="30"/>
          <w:u w:val="single"/>
          <w:lang w:val="en-US" w:eastAsia="zh-CN"/>
        </w:rPr>
        <w:t xml:space="preserve">    </w:t>
      </w:r>
      <w:r>
        <w:rPr>
          <w:rFonts w:hint="eastAsia" w:ascii="仿宋" w:hAnsi="仿宋" w:eastAsia="仿宋" w:cs="宋体"/>
          <w:color w:val="auto"/>
          <w:sz w:val="30"/>
          <w:szCs w:val="30"/>
        </w:rPr>
        <w:t>自愿对单位在本项目项下的全部责任承担连带赔偿责任。</w:t>
      </w:r>
    </w:p>
    <w:p w14:paraId="3AF3EBDC">
      <w:pPr>
        <w:spacing w:line="530" w:lineRule="exact"/>
        <w:ind w:firstLine="602" w:firstLineChars="200"/>
        <w:rPr>
          <w:rFonts w:ascii="仿宋" w:hAnsi="仿宋" w:eastAsia="仿宋" w:cs="宋体"/>
          <w:b/>
          <w:bCs/>
          <w:color w:val="auto"/>
          <w:sz w:val="30"/>
          <w:szCs w:val="30"/>
        </w:rPr>
      </w:pPr>
      <w:r>
        <w:rPr>
          <w:rFonts w:hint="eastAsia" w:ascii="仿宋" w:hAnsi="仿宋" w:eastAsia="仿宋" w:cs="宋体"/>
          <w:b/>
          <w:bCs/>
          <w:color w:val="auto"/>
          <w:sz w:val="30"/>
          <w:szCs w:val="30"/>
        </w:rPr>
        <w:t>19、本单位及本人已认真阅读、充分理解本承诺中各条款，包括免除甲方责任的免责条款及对本单位及本人的权利限制条款。本单位及本人认为本合同内容不存在任何歧义，并同意按照承诺约定履行义务。</w:t>
      </w:r>
    </w:p>
    <w:p w14:paraId="34FA79CE">
      <w:pPr>
        <w:spacing w:line="530" w:lineRule="exact"/>
        <w:ind w:firstLine="600" w:firstLineChars="200"/>
        <w:rPr>
          <w:rFonts w:ascii="仿宋" w:hAnsi="仿宋" w:eastAsia="仿宋" w:cs="宋体"/>
          <w:color w:val="auto"/>
          <w:sz w:val="30"/>
          <w:szCs w:val="30"/>
        </w:rPr>
      </w:pPr>
    </w:p>
    <w:p w14:paraId="3D69D4BB">
      <w:pPr>
        <w:spacing w:line="530" w:lineRule="exact"/>
        <w:ind w:firstLine="5250" w:firstLineChars="1750"/>
        <w:rPr>
          <w:rFonts w:ascii="仿宋" w:hAnsi="仿宋" w:eastAsia="仿宋" w:cs="宋体"/>
          <w:color w:val="auto"/>
          <w:sz w:val="30"/>
          <w:szCs w:val="30"/>
        </w:rPr>
      </w:pPr>
      <w:r>
        <w:rPr>
          <w:rFonts w:hint="eastAsia" w:ascii="仿宋" w:hAnsi="仿宋" w:eastAsia="仿宋" w:cs="宋体"/>
          <w:color w:val="auto"/>
          <w:sz w:val="30"/>
          <w:szCs w:val="30"/>
        </w:rPr>
        <w:t>承诺人：</w:t>
      </w:r>
    </w:p>
    <w:p w14:paraId="766F753F">
      <w:pPr>
        <w:spacing w:line="530" w:lineRule="exact"/>
        <w:ind w:firstLine="4050" w:firstLineChars="1350"/>
        <w:rPr>
          <w:rFonts w:ascii="仿宋" w:hAnsi="仿宋" w:eastAsia="仿宋" w:cs="宋体"/>
          <w:color w:val="auto"/>
          <w:sz w:val="30"/>
          <w:szCs w:val="30"/>
        </w:rPr>
      </w:pPr>
      <w:r>
        <w:rPr>
          <w:rFonts w:hint="eastAsia" w:ascii="仿宋" w:hAnsi="仿宋" w:eastAsia="仿宋" w:cs="宋体"/>
          <w:color w:val="auto"/>
          <w:sz w:val="30"/>
          <w:szCs w:val="30"/>
        </w:rPr>
        <w:t>（承诺单位盖章）</w:t>
      </w:r>
    </w:p>
    <w:p w14:paraId="03BA0582">
      <w:pPr>
        <w:spacing w:line="530" w:lineRule="exact"/>
        <w:ind w:firstLine="5250" w:firstLineChars="1750"/>
        <w:rPr>
          <w:rFonts w:ascii="仿宋" w:hAnsi="仿宋" w:eastAsia="仿宋" w:cs="宋体"/>
          <w:color w:val="auto"/>
          <w:sz w:val="30"/>
          <w:szCs w:val="30"/>
        </w:rPr>
      </w:pPr>
      <w:r>
        <w:rPr>
          <w:rFonts w:hint="eastAsia" w:ascii="仿宋" w:hAnsi="仿宋" w:eastAsia="仿宋" w:cs="宋体"/>
          <w:color w:val="auto"/>
          <w:sz w:val="30"/>
          <w:szCs w:val="30"/>
        </w:rPr>
        <w:t xml:space="preserve">保证人：                   </w:t>
      </w:r>
    </w:p>
    <w:p w14:paraId="4D2BE32C">
      <w:pPr>
        <w:spacing w:line="530" w:lineRule="exact"/>
        <w:ind w:firstLine="3000" w:firstLineChars="1000"/>
        <w:rPr>
          <w:rFonts w:ascii="仿宋" w:hAnsi="仿宋" w:eastAsia="仿宋" w:cs="宋体"/>
          <w:color w:val="auto"/>
          <w:sz w:val="30"/>
          <w:szCs w:val="30"/>
        </w:rPr>
      </w:pPr>
      <w:r>
        <w:rPr>
          <w:rFonts w:hint="eastAsia" w:ascii="仿宋" w:hAnsi="仿宋" w:eastAsia="仿宋" w:cs="宋体"/>
          <w:color w:val="auto"/>
          <w:sz w:val="30"/>
          <w:szCs w:val="30"/>
        </w:rPr>
        <w:t>（项目经理或负责人签字）</w:t>
      </w:r>
    </w:p>
    <w:p w14:paraId="7B04F522">
      <w:pPr>
        <w:spacing w:line="530" w:lineRule="exact"/>
        <w:ind w:firstLine="4500" w:firstLineChars="1500"/>
        <w:rPr>
          <w:rFonts w:ascii="仿宋" w:hAnsi="仿宋" w:eastAsia="仿宋" w:cs="宋体"/>
          <w:color w:val="auto"/>
          <w:sz w:val="30"/>
          <w:szCs w:val="30"/>
        </w:rPr>
      </w:pPr>
      <w:r>
        <w:rPr>
          <w:rFonts w:hint="eastAsia" w:ascii="仿宋" w:hAnsi="仿宋" w:eastAsia="仿宋" w:cs="宋体"/>
          <w:color w:val="auto"/>
          <w:sz w:val="30"/>
          <w:szCs w:val="30"/>
        </w:rPr>
        <w:t xml:space="preserve">年    月   日 </w:t>
      </w:r>
    </w:p>
    <w:p w14:paraId="461C296B">
      <w:pPr>
        <w:spacing w:line="530" w:lineRule="exact"/>
        <w:rPr>
          <w:rFonts w:ascii="仿宋" w:hAnsi="仿宋" w:eastAsia="仿宋"/>
          <w:color w:val="auto"/>
          <w:sz w:val="30"/>
          <w:szCs w:val="30"/>
        </w:rPr>
      </w:pPr>
    </w:p>
    <w:p w14:paraId="6D099FF2">
      <w:pPr>
        <w:spacing w:line="530" w:lineRule="exact"/>
        <w:rPr>
          <w:rFonts w:ascii="仿宋" w:hAnsi="仿宋" w:eastAsia="仿宋"/>
          <w:color w:val="auto"/>
          <w:sz w:val="30"/>
          <w:szCs w:val="30"/>
        </w:rPr>
      </w:pPr>
    </w:p>
    <w:p w14:paraId="7E142D54">
      <w:pPr>
        <w:snapToGrid w:val="0"/>
        <w:spacing w:before="240" w:after="240" w:line="520" w:lineRule="exact"/>
        <w:rPr>
          <w:rFonts w:ascii="仿宋" w:hAnsi="仿宋" w:eastAsia="仿宋"/>
          <w:color w:val="auto"/>
          <w:sz w:val="30"/>
          <w:szCs w:val="30"/>
        </w:rPr>
      </w:pPr>
    </w:p>
    <w:p w14:paraId="701175D9">
      <w:pPr>
        <w:rPr>
          <w:rFonts w:ascii="宋体" w:hAnsi="宋体" w:cs="宋体"/>
          <w:color w:val="auto"/>
          <w:sz w:val="28"/>
          <w:szCs w:val="28"/>
        </w:rPr>
      </w:pPr>
    </w:p>
    <w:p w14:paraId="4B585450">
      <w:pPr>
        <w:adjustRightInd w:val="0"/>
        <w:snapToGrid w:val="0"/>
        <w:spacing w:line="520" w:lineRule="exact"/>
        <w:ind w:firstLine="600" w:firstLineChars="200"/>
        <w:rPr>
          <w:rFonts w:ascii="仿宋" w:hAnsi="仿宋" w:eastAsia="仿宋"/>
          <w:color w:val="auto"/>
          <w:sz w:val="30"/>
          <w:szCs w:val="30"/>
        </w:rPr>
      </w:pPr>
    </w:p>
    <w:p w14:paraId="2A7A297B">
      <w:pPr>
        <w:rPr>
          <w:color w:val="auto"/>
        </w:rPr>
      </w:pPr>
    </w:p>
    <w:p w14:paraId="6C2DB1D3">
      <w:pPr>
        <w:spacing w:line="600" w:lineRule="exact"/>
        <w:rPr>
          <w:color w:val="auto"/>
        </w:rPr>
      </w:pPr>
    </w:p>
    <w:p w14:paraId="46EDF710">
      <w:pPr>
        <w:keepNext w:val="0"/>
        <w:keepLines w:val="0"/>
        <w:pageBreakBefore w:val="0"/>
        <w:widowControl w:val="0"/>
        <w:kinsoku/>
        <w:wordWrap/>
        <w:overflowPunct/>
        <w:topLinePunct w:val="0"/>
        <w:autoSpaceDE/>
        <w:autoSpaceDN/>
        <w:bidi w:val="0"/>
        <w:adjustRightInd/>
        <w:snapToGrid/>
        <w:spacing w:beforeLines="0" w:afterLines="0" w:line="600" w:lineRule="exact"/>
        <w:textAlignment w:val="auto"/>
        <w:rPr>
          <w:color w:val="auto"/>
        </w:rPr>
      </w:pPr>
    </w:p>
    <w:p w14:paraId="463A01C7">
      <w:pPr>
        <w:keepNext w:val="0"/>
        <w:keepLines w:val="0"/>
        <w:pageBreakBefore w:val="0"/>
        <w:widowControl w:val="0"/>
        <w:kinsoku/>
        <w:wordWrap/>
        <w:overflowPunct/>
        <w:topLinePunct w:val="0"/>
        <w:autoSpaceDE/>
        <w:autoSpaceDN/>
        <w:bidi w:val="0"/>
        <w:adjustRightInd/>
        <w:snapToGrid/>
        <w:spacing w:beforeLines="0" w:afterLines="0" w:line="600" w:lineRule="exact"/>
        <w:textAlignment w:val="auto"/>
        <w:rPr>
          <w:color w:val="auto"/>
        </w:rPr>
      </w:pPr>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318DC">
    <w:pPr>
      <w:pStyle w:val="7"/>
      <w:jc w:val="lef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40DCB91">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MngntvRAQAAogMAAA4AAAAAAAAAAQAgAAAAHgEAAGRy&#10;cy9lMm9Eb2MueG1sUEsFBgAAAAAGAAYAWQEAAGEFAAAAAA==&#10;">
              <v:fill on="f" focussize="0,0"/>
              <v:stroke on="f"/>
              <v:imagedata o:title=""/>
              <o:lock v:ext="edit" aspectratio="f"/>
              <v:textbox inset="0mm,0mm,0mm,0mm" style="mso-fit-shape-to-text:t;">
                <w:txbxContent>
                  <w:p w14:paraId="440DCB91">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76D666E">
                          <w:pPr>
                            <w:pStyle w:val="7"/>
                            <w:jc w:val="left"/>
                          </w:pPr>
                        </w:p>
                        <w:p w14:paraId="18E33036"/>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FTMQafRAQAAogMAAA4AAAAAAAAAAQAgAAAAHgEAAGRy&#10;cy9lMm9Eb2MueG1sUEsFBgAAAAAGAAYAWQEAAGEFAAAAAA==&#10;">
              <v:fill on="f" focussize="0,0"/>
              <v:stroke on="f"/>
              <v:imagedata o:title=""/>
              <o:lock v:ext="edit" aspectratio="f"/>
              <v:textbox inset="0mm,0mm,0mm,0mm" style="mso-fit-shape-to-text:t;">
                <w:txbxContent>
                  <w:p w14:paraId="676D666E">
                    <w:pPr>
                      <w:pStyle w:val="7"/>
                      <w:jc w:val="left"/>
                    </w:pPr>
                  </w:p>
                  <w:p w14:paraId="18E33036"/>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CC3F0">
    <w:pPr>
      <w:pStyle w:val="7"/>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A4A31C">
                          <w:pPr>
                            <w:pStyle w:val="7"/>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CA4A31C">
                    <w:pPr>
                      <w:pStyle w:val="7"/>
                    </w:pPr>
                    <w:r>
                      <w:fldChar w:fldCharType="begin"/>
                    </w:r>
                    <w:r>
                      <w:instrText xml:space="preserve"> PAGE  \* MERGEFORMAT </w:instrText>
                    </w:r>
                    <w:r>
                      <w:fldChar w:fldCharType="separate"/>
                    </w:r>
                    <w:r>
                      <w:t>6</w:t>
                    </w:r>
                    <w:r>
                      <w:fldChar w:fldCharType="end"/>
                    </w:r>
                  </w:p>
                </w:txbxContent>
              </v:textbox>
            </v:shape>
          </w:pict>
        </mc:Fallback>
      </mc:AlternateContent>
    </w:r>
  </w:p>
  <w:p w14:paraId="4B3F86D1">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39318">
    <w:pPr>
      <w:ind w:right="606"/>
      <w:rPr>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B904B8"/>
    <w:multiLevelType w:val="multilevel"/>
    <w:tmpl w:val="07B904B8"/>
    <w:lvl w:ilvl="0" w:tentative="0">
      <w:start w:val="1"/>
      <w:numFmt w:val="japaneseCounting"/>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6DE3E118"/>
    <w:multiLevelType w:val="singleLevel"/>
    <w:tmpl w:val="6DE3E118"/>
    <w:lvl w:ilvl="0" w:tentative="0">
      <w:start w:val="7"/>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attachedTemplate r:id="rId1"/>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hYjUzOGJjNmFkMWRjOWVhNWUyMDljYWI5NjFlNzUifQ=="/>
  </w:docVars>
  <w:rsids>
    <w:rsidRoot w:val="56E83D33"/>
    <w:rsid w:val="00360E24"/>
    <w:rsid w:val="009E5347"/>
    <w:rsid w:val="00E72AA5"/>
    <w:rsid w:val="03006C48"/>
    <w:rsid w:val="03EA08A3"/>
    <w:rsid w:val="04913ACA"/>
    <w:rsid w:val="04C9670A"/>
    <w:rsid w:val="04FA4B16"/>
    <w:rsid w:val="05783C18"/>
    <w:rsid w:val="05850883"/>
    <w:rsid w:val="076D7821"/>
    <w:rsid w:val="07A5520D"/>
    <w:rsid w:val="07CD646F"/>
    <w:rsid w:val="08752E31"/>
    <w:rsid w:val="09412D13"/>
    <w:rsid w:val="0A84735B"/>
    <w:rsid w:val="0AB102B4"/>
    <w:rsid w:val="0BAC44BB"/>
    <w:rsid w:val="0C120997"/>
    <w:rsid w:val="0D31309F"/>
    <w:rsid w:val="0DB55A7E"/>
    <w:rsid w:val="0E122ED0"/>
    <w:rsid w:val="0EB14D54"/>
    <w:rsid w:val="0F5A4624"/>
    <w:rsid w:val="10277E20"/>
    <w:rsid w:val="10317DC5"/>
    <w:rsid w:val="12BF6143"/>
    <w:rsid w:val="13266824"/>
    <w:rsid w:val="13491142"/>
    <w:rsid w:val="1599659B"/>
    <w:rsid w:val="16FE3FF2"/>
    <w:rsid w:val="19573EBF"/>
    <w:rsid w:val="19D43AED"/>
    <w:rsid w:val="1A1D50D7"/>
    <w:rsid w:val="1A9F789A"/>
    <w:rsid w:val="1B397CEE"/>
    <w:rsid w:val="1B6542F8"/>
    <w:rsid w:val="1D254070"/>
    <w:rsid w:val="1DE55C6E"/>
    <w:rsid w:val="1E821269"/>
    <w:rsid w:val="1E99461F"/>
    <w:rsid w:val="1EFC14A3"/>
    <w:rsid w:val="1F1D563E"/>
    <w:rsid w:val="1F1D7927"/>
    <w:rsid w:val="20601C41"/>
    <w:rsid w:val="206770AC"/>
    <w:rsid w:val="208C7C85"/>
    <w:rsid w:val="20BF049A"/>
    <w:rsid w:val="21047210"/>
    <w:rsid w:val="21055E24"/>
    <w:rsid w:val="215D04AF"/>
    <w:rsid w:val="23C2284B"/>
    <w:rsid w:val="245C3130"/>
    <w:rsid w:val="255671AE"/>
    <w:rsid w:val="25583467"/>
    <w:rsid w:val="261F3125"/>
    <w:rsid w:val="2A4F3BA9"/>
    <w:rsid w:val="2AE204E7"/>
    <w:rsid w:val="2B89450B"/>
    <w:rsid w:val="2F1456EF"/>
    <w:rsid w:val="30422D49"/>
    <w:rsid w:val="30D00355"/>
    <w:rsid w:val="31B62D11"/>
    <w:rsid w:val="326359C0"/>
    <w:rsid w:val="32B31CDC"/>
    <w:rsid w:val="33A361F5"/>
    <w:rsid w:val="33D53ED4"/>
    <w:rsid w:val="34A91D02"/>
    <w:rsid w:val="351153E0"/>
    <w:rsid w:val="35A85D44"/>
    <w:rsid w:val="35CD7559"/>
    <w:rsid w:val="35D22DC1"/>
    <w:rsid w:val="369466DE"/>
    <w:rsid w:val="37B96620"/>
    <w:rsid w:val="394D6D52"/>
    <w:rsid w:val="39B63EB2"/>
    <w:rsid w:val="39D40133"/>
    <w:rsid w:val="3A1D671D"/>
    <w:rsid w:val="3A5D71FE"/>
    <w:rsid w:val="3AE72E6B"/>
    <w:rsid w:val="3BB16FD5"/>
    <w:rsid w:val="3BE41159"/>
    <w:rsid w:val="3C387320"/>
    <w:rsid w:val="3D567E34"/>
    <w:rsid w:val="3D5C3F59"/>
    <w:rsid w:val="3E75078E"/>
    <w:rsid w:val="3F841CFC"/>
    <w:rsid w:val="3FB62E0C"/>
    <w:rsid w:val="41024036"/>
    <w:rsid w:val="4235270E"/>
    <w:rsid w:val="43FB5B86"/>
    <w:rsid w:val="445175A7"/>
    <w:rsid w:val="45264590"/>
    <w:rsid w:val="455332C1"/>
    <w:rsid w:val="46ED0B48"/>
    <w:rsid w:val="46F34946"/>
    <w:rsid w:val="47A506BC"/>
    <w:rsid w:val="47C106F6"/>
    <w:rsid w:val="47D76015"/>
    <w:rsid w:val="484E7E3D"/>
    <w:rsid w:val="4883524F"/>
    <w:rsid w:val="497E04F2"/>
    <w:rsid w:val="49C443CE"/>
    <w:rsid w:val="4A7B537E"/>
    <w:rsid w:val="4B8360DE"/>
    <w:rsid w:val="4B9765CB"/>
    <w:rsid w:val="4B9A5CD8"/>
    <w:rsid w:val="4C0B2731"/>
    <w:rsid w:val="4ECD3CCE"/>
    <w:rsid w:val="4EE31744"/>
    <w:rsid w:val="4F2A2ECF"/>
    <w:rsid w:val="4FC56328"/>
    <w:rsid w:val="503A6B3E"/>
    <w:rsid w:val="5066262C"/>
    <w:rsid w:val="51053BF3"/>
    <w:rsid w:val="510F05CE"/>
    <w:rsid w:val="51FF4AE6"/>
    <w:rsid w:val="52AF02BB"/>
    <w:rsid w:val="53183CB8"/>
    <w:rsid w:val="545C6412"/>
    <w:rsid w:val="552D7E6F"/>
    <w:rsid w:val="55A559A5"/>
    <w:rsid w:val="56554DBB"/>
    <w:rsid w:val="56A2177C"/>
    <w:rsid w:val="56E83D33"/>
    <w:rsid w:val="57FF75EE"/>
    <w:rsid w:val="587A3BCF"/>
    <w:rsid w:val="594C693C"/>
    <w:rsid w:val="59A8307F"/>
    <w:rsid w:val="5A68769E"/>
    <w:rsid w:val="5ABE32BB"/>
    <w:rsid w:val="5AFA63B0"/>
    <w:rsid w:val="5B022F52"/>
    <w:rsid w:val="5BF40AEC"/>
    <w:rsid w:val="5DF321B9"/>
    <w:rsid w:val="5E196F30"/>
    <w:rsid w:val="5F8D3732"/>
    <w:rsid w:val="60A70823"/>
    <w:rsid w:val="612B2110"/>
    <w:rsid w:val="613C344B"/>
    <w:rsid w:val="62ED371C"/>
    <w:rsid w:val="639037F0"/>
    <w:rsid w:val="63BA261B"/>
    <w:rsid w:val="6405414F"/>
    <w:rsid w:val="64306222"/>
    <w:rsid w:val="653C74CC"/>
    <w:rsid w:val="65A013D8"/>
    <w:rsid w:val="6747687B"/>
    <w:rsid w:val="6779459B"/>
    <w:rsid w:val="67D51DB7"/>
    <w:rsid w:val="6881195A"/>
    <w:rsid w:val="6942446C"/>
    <w:rsid w:val="69BB3C2A"/>
    <w:rsid w:val="6B5259F4"/>
    <w:rsid w:val="6C3A69EF"/>
    <w:rsid w:val="6D535020"/>
    <w:rsid w:val="6D805A20"/>
    <w:rsid w:val="6EE40E94"/>
    <w:rsid w:val="6EFA1E1A"/>
    <w:rsid w:val="6F115A31"/>
    <w:rsid w:val="6F810491"/>
    <w:rsid w:val="704A4D27"/>
    <w:rsid w:val="71484CEE"/>
    <w:rsid w:val="72B56DCF"/>
    <w:rsid w:val="72F46D9E"/>
    <w:rsid w:val="73934B26"/>
    <w:rsid w:val="75104DD7"/>
    <w:rsid w:val="751E478E"/>
    <w:rsid w:val="75422471"/>
    <w:rsid w:val="75702007"/>
    <w:rsid w:val="77077C51"/>
    <w:rsid w:val="772E3690"/>
    <w:rsid w:val="7809535A"/>
    <w:rsid w:val="792D45DE"/>
    <w:rsid w:val="79A949E5"/>
    <w:rsid w:val="7A5A1EFF"/>
    <w:rsid w:val="7DC9372F"/>
    <w:rsid w:val="7E755665"/>
    <w:rsid w:val="7FC05006"/>
    <w:rsid w:val="7FDE3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line="400" w:lineRule="atLeast"/>
      <w:ind w:firstLine="624"/>
    </w:pPr>
    <w:rPr>
      <w:rFonts w:ascii="宋体"/>
      <w:color w:val="FF0000"/>
      <w:sz w:val="28"/>
    </w:rPr>
  </w:style>
  <w:style w:type="paragraph" w:styleId="4">
    <w:name w:val="Normal Indent"/>
    <w:basedOn w:val="1"/>
    <w:unhideWhenUsed/>
    <w:qFormat/>
    <w:uiPriority w:val="99"/>
    <w:pPr>
      <w:spacing w:line="240" w:lineRule="atLeast"/>
      <w:ind w:firstLine="420" w:firstLineChars="200"/>
    </w:pPr>
    <w:rPr>
      <w:sz w:val="32"/>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szCs w:val="24"/>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kern w:val="0"/>
      <w:sz w:val="24"/>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bCs/>
    </w:rPr>
  </w:style>
  <w:style w:type="character" w:styleId="14">
    <w:name w:val="page number"/>
    <w:basedOn w:val="12"/>
    <w:unhideWhenUsed/>
    <w:qFormat/>
    <w:uiPriority w:val="99"/>
  </w:style>
  <w:style w:type="character" w:styleId="15">
    <w:name w:val="Hyperlink"/>
    <w:basedOn w:val="12"/>
    <w:qFormat/>
    <w:uiPriority w:val="0"/>
    <w:rPr>
      <w:color w:val="0000FF"/>
      <w:u w:val="single"/>
    </w:rPr>
  </w:style>
  <w:style w:type="character" w:styleId="16">
    <w:name w:val="annotation reference"/>
    <w:qFormat/>
    <w:uiPriority w:val="0"/>
    <w:rPr>
      <w:sz w:val="21"/>
      <w:szCs w:val="21"/>
    </w:rPr>
  </w:style>
  <w:style w:type="paragraph" w:customStyle="1" w:styleId="17">
    <w:name w:val="Table Paragraph"/>
    <w:basedOn w:val="1"/>
    <w:qFormat/>
    <w:uiPriority w:val="1"/>
    <w:pPr>
      <w:autoSpaceDE w:val="0"/>
      <w:autoSpaceDN w:val="0"/>
      <w:jc w:val="left"/>
    </w:pPr>
    <w:rPr>
      <w:rFonts w:ascii="仿宋" w:hAnsi="仿宋" w:eastAsia="仿宋" w:cs="仿宋"/>
      <w:kern w:val="0"/>
      <w:sz w:val="22"/>
      <w:szCs w:val="22"/>
      <w:lang w:val="zh-CN" w:bidi="zh-CN"/>
    </w:rPr>
  </w:style>
  <w:style w:type="paragraph" w:customStyle="1" w:styleId="18">
    <w:name w:val="Other|1"/>
    <w:basedOn w:val="1"/>
    <w:qFormat/>
    <w:uiPriority w:val="0"/>
    <w:pPr>
      <w:widowControl w:val="0"/>
      <w:shd w:val="clear" w:color="auto" w:fill="auto"/>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71</Pages>
  <Words>4494</Words>
  <Characters>4787</Characters>
  <Lines>0</Lines>
  <Paragraphs>0</Paragraphs>
  <TotalTime>0</TotalTime>
  <ScaleCrop>false</ScaleCrop>
  <LinksUpToDate>false</LinksUpToDate>
  <CharactersWithSpaces>4991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2018-09-21T01:44:00Z</dcterms:created>
  <dc:creator>LENOVO</dc:creator>
  <cp:lastModifiedBy>Lui啊lui</cp:lastModifiedBy>
  <cp:lastPrinted>2021-04-12T07:38:00Z</cp:lastPrinted>
  <dcterms:modified xsi:type="dcterms:W3CDTF">2025-07-29T06:29:59Z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8D208363D957452783BB718D46E882F8</vt:lpwstr>
  </property>
  <property fmtid="{D5CDD505-2E9C-101B-9397-08002B2CF9AE}" pid="4" name="KSOSaveFontToCloudKey">
    <vt:lpwstr>559408167_btnclosed</vt:lpwstr>
  </property>
  <property fmtid="{D5CDD505-2E9C-101B-9397-08002B2CF9AE}" pid="5" name="KSOTemplateDocerSaveRecord">
    <vt:lpwstr>eyJoZGlkIjoiZTlhYjUzOGJjNmFkMWRjOWVhNWUyMDljYWI5NjFlNzUiLCJ1c2VySWQiOiI1NTk0MDgxNjcifQ==</vt:lpwstr>
  </property>
</Properties>
</file>